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F5D" w:rsidRPr="00D50E91" w:rsidRDefault="00C15F5D">
      <w:pPr>
        <w:rPr>
          <w:rFonts w:ascii="Times New Roman félkövér" w:hAnsi="Times New Roman félkövér"/>
          <w:b/>
          <w:caps/>
          <w:spacing w:val="100"/>
          <w:sz w:val="32"/>
        </w:rPr>
      </w:pPr>
      <w:bookmarkStart w:id="0" w:name="_GoBack"/>
      <w:bookmarkEnd w:id="0"/>
    </w:p>
    <w:p w:rsidR="00C9769F" w:rsidRPr="00D50E91" w:rsidRDefault="00C9769F" w:rsidP="00C9769F">
      <w:pPr>
        <w:pStyle w:val="Listaszerbekezds"/>
        <w:jc w:val="right"/>
        <w:outlineLvl w:val="0"/>
        <w:rPr>
          <w:bCs/>
          <w:i/>
        </w:rPr>
      </w:pPr>
    </w:p>
    <w:p w:rsidR="00C9769F" w:rsidRPr="00D50E91" w:rsidRDefault="00C9769F" w:rsidP="00C9769F">
      <w:pPr>
        <w:jc w:val="center"/>
        <w:rPr>
          <w:b/>
        </w:rPr>
      </w:pPr>
      <w:r w:rsidRPr="00D50E91">
        <w:rPr>
          <w:b/>
        </w:rPr>
        <w:t>A belügyminiszter</w:t>
      </w:r>
    </w:p>
    <w:p w:rsidR="00C9769F" w:rsidRPr="00D50E91" w:rsidRDefault="00C9769F" w:rsidP="00C9769F">
      <w:pPr>
        <w:ind w:firstLine="204"/>
        <w:jc w:val="center"/>
        <w:rPr>
          <w:b/>
        </w:rPr>
      </w:pPr>
    </w:p>
    <w:p w:rsidR="00C9769F" w:rsidRPr="00D50E91" w:rsidRDefault="00C9769F" w:rsidP="00C9769F">
      <w:pPr>
        <w:jc w:val="center"/>
        <w:rPr>
          <w:b/>
        </w:rPr>
      </w:pPr>
      <w:r w:rsidRPr="00D50E91">
        <w:rPr>
          <w:b/>
        </w:rPr>
        <w:t>…/2018. (… …) BM rendelete</w:t>
      </w:r>
    </w:p>
    <w:p w:rsidR="00C9769F" w:rsidRPr="00D50E91" w:rsidRDefault="00C9769F" w:rsidP="00C9769F">
      <w:pPr>
        <w:jc w:val="center"/>
        <w:rPr>
          <w:b/>
        </w:rPr>
      </w:pPr>
    </w:p>
    <w:p w:rsidR="00C9769F" w:rsidRPr="00D50E91" w:rsidRDefault="00C9769F" w:rsidP="00C9769F">
      <w:pPr>
        <w:jc w:val="center"/>
        <w:rPr>
          <w:b/>
        </w:rPr>
      </w:pPr>
      <w:r w:rsidRPr="00D50E91">
        <w:rPr>
          <w:b/>
        </w:rPr>
        <w:t>az Országos Tűzvédelmi Szabályzatról szóló 54/2014. (XII. 5.) BM rendelet módosításáról</w:t>
      </w:r>
    </w:p>
    <w:p w:rsidR="00C9769F" w:rsidRPr="00D50E91" w:rsidRDefault="00C9769F" w:rsidP="00C9769F">
      <w:pPr>
        <w:jc w:val="both"/>
      </w:pPr>
    </w:p>
    <w:p w:rsidR="00C9769F" w:rsidRPr="00D50E91" w:rsidRDefault="00C9769F" w:rsidP="00C9769F">
      <w:pPr>
        <w:autoSpaceDE w:val="0"/>
        <w:autoSpaceDN w:val="0"/>
        <w:adjustRightInd w:val="0"/>
        <w:jc w:val="both"/>
      </w:pPr>
      <w:r w:rsidRPr="00D50E91">
        <w:t>A tűz elleni védekezésről, a műszaki mentésről és a tűzoltóságról szóló 1996. évi XXXI. törvény 47. § (2) bekezdés 1. pontjában kapott felhatalmazás alapján, a Kormány tagjainak feladat</w:t>
      </w:r>
      <w:r w:rsidR="003528A8">
        <w:t>-</w:t>
      </w:r>
      <w:r w:rsidRPr="00D50E91">
        <w:t xml:space="preserve"> és hatásköréről szóló 94/2018. (V. 22.) Korm. rendelet 40. § (1) bekezdés 8. pontjában meghatározott feladatkörömben eljárva a következőket rendelem el:</w:t>
      </w:r>
    </w:p>
    <w:p w:rsidR="00C9769F" w:rsidRPr="00D50E91" w:rsidRDefault="00C9769F" w:rsidP="00C9769F">
      <w:pPr>
        <w:autoSpaceDE w:val="0"/>
        <w:autoSpaceDN w:val="0"/>
        <w:adjustRightInd w:val="0"/>
        <w:jc w:val="both"/>
      </w:pPr>
    </w:p>
    <w:p w:rsidR="00C9769F" w:rsidRPr="00D50E91" w:rsidRDefault="00C9769F" w:rsidP="00C9769F">
      <w:pPr>
        <w:keepNext/>
        <w:numPr>
          <w:ilvl w:val="0"/>
          <w:numId w:val="2"/>
        </w:numPr>
        <w:spacing w:line="276" w:lineRule="auto"/>
        <w:ind w:left="0" w:firstLine="0"/>
        <w:jc w:val="center"/>
        <w:outlineLvl w:val="1"/>
        <w:rPr>
          <w:b/>
          <w:bCs/>
        </w:rPr>
      </w:pPr>
      <w:r w:rsidRPr="00D50E91">
        <w:rPr>
          <w:b/>
          <w:bCs/>
        </w:rPr>
        <w:t>§</w:t>
      </w:r>
    </w:p>
    <w:p w:rsidR="00C9769F" w:rsidRPr="00D50E91" w:rsidRDefault="00C9769F" w:rsidP="00C9769F">
      <w:pPr>
        <w:autoSpaceDE w:val="0"/>
        <w:autoSpaceDN w:val="0"/>
        <w:adjustRightInd w:val="0"/>
        <w:jc w:val="both"/>
      </w:pPr>
    </w:p>
    <w:p w:rsidR="00C9769F" w:rsidRPr="00D50E91" w:rsidRDefault="00C9769F" w:rsidP="00C9769F">
      <w:pPr>
        <w:autoSpaceDE w:val="0"/>
        <w:autoSpaceDN w:val="0"/>
        <w:adjustRightInd w:val="0"/>
        <w:jc w:val="both"/>
      </w:pPr>
      <w:r w:rsidRPr="00D50E91">
        <w:t>Az Országos Tűzvédelmi Szabályzatról szóló 54/2014. (XII. 5.) BM rendelet (a továbbiakban: R.) 2. §</w:t>
      </w:r>
      <w:r w:rsidR="003528A8">
        <w:t>-</w:t>
      </w:r>
      <w:r w:rsidRPr="00D50E91">
        <w:t>a a következő (5) bekezdéssel egészül ki:</w:t>
      </w:r>
    </w:p>
    <w:p w:rsidR="00C9769F" w:rsidRPr="00D50E91" w:rsidRDefault="00C9769F" w:rsidP="00C9769F">
      <w:pPr>
        <w:autoSpaceDE w:val="0"/>
        <w:autoSpaceDN w:val="0"/>
        <w:adjustRightInd w:val="0"/>
        <w:jc w:val="both"/>
      </w:pPr>
    </w:p>
    <w:p w:rsidR="00C9769F" w:rsidRPr="00D50E91" w:rsidRDefault="00C9769F" w:rsidP="00C9769F">
      <w:pPr>
        <w:autoSpaceDE w:val="0"/>
        <w:autoSpaceDN w:val="0"/>
        <w:adjustRightInd w:val="0"/>
        <w:jc w:val="both"/>
      </w:pPr>
      <w:r w:rsidRPr="00D50E91">
        <w:t>„(5) E rendelet alkalmazásában a tömegtartózkodásra szolgáló helyiségre előírt követelményeket akkor kell érvényesíteni, ha a helyiség rendeltetésszerű használata összefüggő tömeg tartózkodásával jár.”</w:t>
      </w:r>
    </w:p>
    <w:p w:rsidR="00C9769F" w:rsidRPr="00D50E91" w:rsidRDefault="00C9769F" w:rsidP="00C9769F">
      <w:pPr>
        <w:autoSpaceDE w:val="0"/>
        <w:autoSpaceDN w:val="0"/>
        <w:adjustRightInd w:val="0"/>
        <w:jc w:val="both"/>
      </w:pPr>
    </w:p>
    <w:p w:rsidR="00C9769F" w:rsidRPr="00D50E91" w:rsidRDefault="00C9769F" w:rsidP="00C9769F">
      <w:pPr>
        <w:keepNext/>
        <w:numPr>
          <w:ilvl w:val="0"/>
          <w:numId w:val="2"/>
        </w:numPr>
        <w:spacing w:line="276" w:lineRule="auto"/>
        <w:ind w:left="0" w:firstLine="0"/>
        <w:jc w:val="center"/>
        <w:outlineLvl w:val="1"/>
        <w:rPr>
          <w:b/>
          <w:bCs/>
        </w:rPr>
      </w:pPr>
      <w:r w:rsidRPr="00D50E91">
        <w:rPr>
          <w:b/>
          <w:bCs/>
        </w:rPr>
        <w:t>§</w:t>
      </w:r>
    </w:p>
    <w:p w:rsidR="00C9769F" w:rsidRPr="00D50E91" w:rsidRDefault="00C9769F" w:rsidP="00C9769F">
      <w:pPr>
        <w:autoSpaceDE w:val="0"/>
        <w:autoSpaceDN w:val="0"/>
        <w:adjustRightInd w:val="0"/>
        <w:jc w:val="both"/>
      </w:pPr>
    </w:p>
    <w:p w:rsidR="00C9769F" w:rsidRPr="00D50E91" w:rsidRDefault="00C9769F" w:rsidP="00C9769F">
      <w:pPr>
        <w:autoSpaceDE w:val="0"/>
        <w:autoSpaceDN w:val="0"/>
        <w:adjustRightInd w:val="0"/>
        <w:jc w:val="both"/>
      </w:pPr>
      <w:r w:rsidRPr="00D50E91">
        <w:t>(1) Az R. 4. § (2) bekezdés 8. pontja helyébe a következő rendelkezés lép:</w:t>
      </w:r>
    </w:p>
    <w:p w:rsidR="00C9769F" w:rsidRPr="00D50E91" w:rsidRDefault="00C9769F" w:rsidP="00C9769F">
      <w:pPr>
        <w:autoSpaceDE w:val="0"/>
        <w:autoSpaceDN w:val="0"/>
        <w:adjustRightInd w:val="0"/>
        <w:jc w:val="both"/>
      </w:pPr>
    </w:p>
    <w:p w:rsidR="00C9769F" w:rsidRPr="00D50E91" w:rsidRDefault="00C9769F" w:rsidP="00C9769F">
      <w:pPr>
        <w:autoSpaceDE w:val="0"/>
        <w:autoSpaceDN w:val="0"/>
        <w:adjustRightInd w:val="0"/>
        <w:jc w:val="both"/>
        <w:rPr>
          <w:i/>
        </w:rPr>
      </w:pPr>
      <w:r w:rsidRPr="00D50E91">
        <w:rPr>
          <w:i/>
        </w:rPr>
        <w:t>[E rendelet alkalmazásában]</w:t>
      </w:r>
    </w:p>
    <w:p w:rsidR="00C9769F" w:rsidRPr="00D50E91" w:rsidRDefault="00C9769F" w:rsidP="00C9769F">
      <w:pPr>
        <w:autoSpaceDE w:val="0"/>
        <w:autoSpaceDN w:val="0"/>
        <w:adjustRightInd w:val="0"/>
        <w:jc w:val="both"/>
      </w:pPr>
      <w:r w:rsidRPr="00D50E91">
        <w:t xml:space="preserve">„8. </w:t>
      </w:r>
      <w:r w:rsidRPr="00D50E91">
        <w:rPr>
          <w:i/>
        </w:rPr>
        <w:t>átmeneti védett tér:</w:t>
      </w:r>
      <w:r w:rsidRPr="00D50E91">
        <w:t xml:space="preserve"> helyiség, helyiségcsoport vagy tér, amely kialakításával tűz esetén az oda menekülő vagy menekített személyek biztonságát átmenetileg, a mentés vagy a további menekülés végrehajtásáig biztosítja,”</w:t>
      </w:r>
    </w:p>
    <w:p w:rsidR="00C9769F" w:rsidRPr="00D50E91" w:rsidRDefault="00C9769F" w:rsidP="00C9769F">
      <w:pPr>
        <w:autoSpaceDE w:val="0"/>
        <w:autoSpaceDN w:val="0"/>
        <w:adjustRightInd w:val="0"/>
        <w:jc w:val="both"/>
      </w:pPr>
    </w:p>
    <w:p w:rsidR="00C9769F" w:rsidRPr="00D50E91" w:rsidRDefault="00C9769F" w:rsidP="00C9769F">
      <w:pPr>
        <w:autoSpaceDE w:val="0"/>
        <w:autoSpaceDN w:val="0"/>
        <w:adjustRightInd w:val="0"/>
        <w:jc w:val="both"/>
      </w:pPr>
      <w:r w:rsidRPr="00D50E91">
        <w:t>(2) Az R. 4. § (2) bekezdés 10. pontja helyébe a következő rendelkezés lép:</w:t>
      </w:r>
    </w:p>
    <w:p w:rsidR="00C9769F" w:rsidRPr="00D50E91" w:rsidRDefault="00C9769F" w:rsidP="00C9769F">
      <w:pPr>
        <w:autoSpaceDE w:val="0"/>
        <w:autoSpaceDN w:val="0"/>
        <w:adjustRightInd w:val="0"/>
        <w:jc w:val="both"/>
      </w:pPr>
    </w:p>
    <w:p w:rsidR="00C9769F" w:rsidRPr="00D50E91" w:rsidRDefault="00C9769F" w:rsidP="00C9769F">
      <w:pPr>
        <w:autoSpaceDE w:val="0"/>
        <w:autoSpaceDN w:val="0"/>
        <w:adjustRightInd w:val="0"/>
        <w:jc w:val="both"/>
        <w:rPr>
          <w:i/>
        </w:rPr>
      </w:pPr>
      <w:r w:rsidRPr="00D50E91">
        <w:rPr>
          <w:i/>
        </w:rPr>
        <w:t>[E rendelet alkalmazásában]</w:t>
      </w:r>
    </w:p>
    <w:p w:rsidR="00C9769F" w:rsidRPr="00D50E91" w:rsidRDefault="00C9769F" w:rsidP="00C9769F">
      <w:pPr>
        <w:autoSpaceDE w:val="0"/>
        <w:autoSpaceDN w:val="0"/>
        <w:adjustRightInd w:val="0"/>
        <w:jc w:val="both"/>
      </w:pPr>
      <w:r w:rsidRPr="00D50E91">
        <w:t>„10.</w:t>
      </w:r>
      <w:r w:rsidRPr="00D50E91">
        <w:rPr>
          <w:i/>
        </w:rPr>
        <w:t xml:space="preserve"> beépített tűzjelző berendezés:</w:t>
      </w:r>
      <w:r w:rsidRPr="00D50E91">
        <w:t xml:space="preserve"> az építményben vagy szabadtéren elhelyezett, helyhez kötött, a tűz kifejlődésének korai szakaszában észlelést, jelzést és megfelelő tűzvédelmi intézkedést önműködően végző olyan berendezés, amely rendelkezik a tűzvédelmi hatóság használatbavételi engedélyével,”</w:t>
      </w:r>
    </w:p>
    <w:p w:rsidR="00C9769F" w:rsidRPr="00D50E91" w:rsidRDefault="00C9769F" w:rsidP="00C9769F">
      <w:pPr>
        <w:autoSpaceDE w:val="0"/>
        <w:autoSpaceDN w:val="0"/>
        <w:adjustRightInd w:val="0"/>
        <w:jc w:val="both"/>
      </w:pPr>
    </w:p>
    <w:p w:rsidR="00C9769F" w:rsidRPr="00D50E91" w:rsidRDefault="00C9769F" w:rsidP="00C9769F">
      <w:pPr>
        <w:autoSpaceDE w:val="0"/>
        <w:autoSpaceDN w:val="0"/>
        <w:adjustRightInd w:val="0"/>
        <w:jc w:val="both"/>
      </w:pPr>
      <w:r w:rsidRPr="00D50E91">
        <w:t>(3) Az R. 4. § (2) bekezdés 14. pontja helyébe a következő rendelkezés lép:</w:t>
      </w:r>
    </w:p>
    <w:p w:rsidR="00C9769F" w:rsidRPr="00D50E91" w:rsidRDefault="00C9769F" w:rsidP="00C9769F">
      <w:pPr>
        <w:autoSpaceDE w:val="0"/>
        <w:autoSpaceDN w:val="0"/>
        <w:adjustRightInd w:val="0"/>
        <w:jc w:val="both"/>
      </w:pPr>
    </w:p>
    <w:p w:rsidR="00C9769F" w:rsidRPr="00D50E91" w:rsidRDefault="00C9769F" w:rsidP="00C9769F">
      <w:pPr>
        <w:autoSpaceDE w:val="0"/>
        <w:autoSpaceDN w:val="0"/>
        <w:adjustRightInd w:val="0"/>
        <w:jc w:val="both"/>
        <w:rPr>
          <w:i/>
        </w:rPr>
      </w:pPr>
      <w:r w:rsidRPr="00D50E91">
        <w:rPr>
          <w:i/>
        </w:rPr>
        <w:t>[E rendelet alkalmazásában]</w:t>
      </w:r>
    </w:p>
    <w:p w:rsidR="00C9769F" w:rsidRPr="00D50E91" w:rsidRDefault="00C9769F" w:rsidP="00C9769F">
      <w:pPr>
        <w:autoSpaceDE w:val="0"/>
        <w:autoSpaceDN w:val="0"/>
        <w:adjustRightInd w:val="0"/>
        <w:jc w:val="both"/>
      </w:pPr>
      <w:r w:rsidRPr="00D50E91">
        <w:t xml:space="preserve">„14. </w:t>
      </w:r>
      <w:r w:rsidRPr="00D50E91">
        <w:rPr>
          <w:i/>
        </w:rPr>
        <w:t>beépített tűzoltó berendezés:</w:t>
      </w:r>
      <w:r w:rsidRPr="00D50E91">
        <w:t xml:space="preserve"> az építményben vagy szabadtéren elhelyezett, helyhez kötött, a tűz oltására, a beavatkozás könnyítésére, a tűz terjedésének megakadályozására, a tűzkár csökkentésére alkalmazott, tűzoltó vízforrásnak nem minősülő, önműködő vagy kézi indítású vagy mindkét módon indítható olyan berendezés, amely rendelkezik a tűzvédelmi hatóság használatbavételi engedélyével,”</w:t>
      </w:r>
    </w:p>
    <w:p w:rsidR="00C9769F" w:rsidRPr="00D50E91" w:rsidRDefault="00C9769F" w:rsidP="00C9769F">
      <w:pPr>
        <w:autoSpaceDE w:val="0"/>
        <w:autoSpaceDN w:val="0"/>
        <w:adjustRightInd w:val="0"/>
        <w:jc w:val="both"/>
      </w:pPr>
    </w:p>
    <w:p w:rsidR="00C9769F" w:rsidRPr="00D50E91" w:rsidRDefault="00C9769F" w:rsidP="00C9769F">
      <w:pPr>
        <w:autoSpaceDE w:val="0"/>
        <w:autoSpaceDN w:val="0"/>
        <w:adjustRightInd w:val="0"/>
        <w:jc w:val="both"/>
      </w:pPr>
      <w:r w:rsidRPr="00D50E91">
        <w:t>(4) Az R. 4. § (2) bekezdés 22. pontja helyébe a következő rendelkezés lép:</w:t>
      </w:r>
    </w:p>
    <w:p w:rsidR="00C9769F" w:rsidRDefault="00C9769F" w:rsidP="00C9769F">
      <w:pPr>
        <w:autoSpaceDE w:val="0"/>
        <w:autoSpaceDN w:val="0"/>
        <w:adjustRightInd w:val="0"/>
        <w:jc w:val="both"/>
      </w:pPr>
    </w:p>
    <w:p w:rsidR="00BB69C6" w:rsidRPr="00D50E91" w:rsidRDefault="00BB69C6" w:rsidP="00C9769F">
      <w:pPr>
        <w:autoSpaceDE w:val="0"/>
        <w:autoSpaceDN w:val="0"/>
        <w:adjustRightInd w:val="0"/>
        <w:jc w:val="both"/>
      </w:pPr>
    </w:p>
    <w:p w:rsidR="00C9769F" w:rsidRPr="00D50E91" w:rsidRDefault="00C9769F" w:rsidP="00C9769F">
      <w:pPr>
        <w:autoSpaceDE w:val="0"/>
        <w:autoSpaceDN w:val="0"/>
        <w:adjustRightInd w:val="0"/>
        <w:jc w:val="both"/>
        <w:rPr>
          <w:i/>
        </w:rPr>
      </w:pPr>
      <w:r w:rsidRPr="00D50E91">
        <w:rPr>
          <w:i/>
        </w:rPr>
        <w:t>[E rendelet alkalmazásában]</w:t>
      </w:r>
    </w:p>
    <w:p w:rsidR="00C9769F" w:rsidRPr="00D50E91" w:rsidRDefault="00C9769F" w:rsidP="00C9769F">
      <w:pPr>
        <w:autoSpaceDE w:val="0"/>
        <w:autoSpaceDN w:val="0"/>
        <w:adjustRightInd w:val="0"/>
        <w:jc w:val="both"/>
      </w:pPr>
      <w:r w:rsidRPr="00D50E91">
        <w:t xml:space="preserve">„22. </w:t>
      </w:r>
      <w:r w:rsidRPr="00D50E91">
        <w:rPr>
          <w:i/>
        </w:rPr>
        <w:t>biztonságos tér:</w:t>
      </w:r>
      <w:r w:rsidRPr="00D50E91">
        <w:t xml:space="preserve"> az építményen kívüli külső tér, ahol a tűz és kísérőjelenségei a menekülő személyeket már nem veszélyeztetik és ahonnan a menekülő személyek az építménybe való visszatérés nélkül közterületre juthatnak,”</w:t>
      </w:r>
    </w:p>
    <w:p w:rsidR="00C9769F" w:rsidRPr="00D50E91" w:rsidRDefault="00C9769F" w:rsidP="00C9769F">
      <w:pPr>
        <w:autoSpaceDE w:val="0"/>
        <w:autoSpaceDN w:val="0"/>
        <w:adjustRightInd w:val="0"/>
        <w:jc w:val="both"/>
      </w:pPr>
    </w:p>
    <w:p w:rsidR="00C9769F" w:rsidRPr="00D50E91" w:rsidRDefault="00C9769F" w:rsidP="00C9769F">
      <w:pPr>
        <w:autoSpaceDE w:val="0"/>
        <w:autoSpaceDN w:val="0"/>
        <w:adjustRightInd w:val="0"/>
        <w:jc w:val="both"/>
      </w:pPr>
      <w:r w:rsidRPr="00D50E91">
        <w:t>(5) Az R. 4. § (2) bekezdés 57. pontja helyébe a következő rendelkezés lép:</w:t>
      </w:r>
    </w:p>
    <w:p w:rsidR="00C9769F" w:rsidRPr="00D50E91" w:rsidRDefault="00C9769F" w:rsidP="00C9769F">
      <w:pPr>
        <w:autoSpaceDE w:val="0"/>
        <w:autoSpaceDN w:val="0"/>
        <w:adjustRightInd w:val="0"/>
        <w:jc w:val="both"/>
      </w:pPr>
    </w:p>
    <w:p w:rsidR="00C9769F" w:rsidRPr="00D50E91" w:rsidRDefault="00C9769F" w:rsidP="00C9769F">
      <w:pPr>
        <w:autoSpaceDE w:val="0"/>
        <w:autoSpaceDN w:val="0"/>
        <w:adjustRightInd w:val="0"/>
        <w:jc w:val="both"/>
        <w:rPr>
          <w:i/>
        </w:rPr>
      </w:pPr>
      <w:r w:rsidRPr="00D50E91">
        <w:rPr>
          <w:i/>
        </w:rPr>
        <w:t>[E rendelet alkalmazásában]</w:t>
      </w:r>
    </w:p>
    <w:p w:rsidR="00C9769F" w:rsidRPr="00D50E91" w:rsidRDefault="00C9769F" w:rsidP="00C9769F">
      <w:pPr>
        <w:autoSpaceDE w:val="0"/>
        <w:autoSpaceDN w:val="0"/>
        <w:adjustRightInd w:val="0"/>
        <w:jc w:val="both"/>
      </w:pPr>
      <w:r w:rsidRPr="00D50E91">
        <w:t xml:space="preserve">„57. </w:t>
      </w:r>
      <w:r w:rsidRPr="00D50E91">
        <w:rPr>
          <w:i/>
        </w:rPr>
        <w:t>hatékony szellőztetés:</w:t>
      </w:r>
      <w:r w:rsidRPr="00D50E91">
        <w:t xml:space="preserve"> ahol az adott térben a szellőzés, szellőztetés biztosítja, hogy üzemi körülmények között az éghető gázok, gőzök koncentrációja a kibocsátási hely közvetlen környezetének kivételével ne érje el az alsó robbanási határérték 20%</w:t>
      </w:r>
      <w:r w:rsidR="003528A8">
        <w:t>-</w:t>
      </w:r>
      <w:r w:rsidRPr="00D50E91">
        <w:t>át,”</w:t>
      </w:r>
    </w:p>
    <w:p w:rsidR="00C9769F" w:rsidRPr="00D50E91" w:rsidRDefault="00C9769F" w:rsidP="00C9769F">
      <w:pPr>
        <w:autoSpaceDE w:val="0"/>
        <w:autoSpaceDN w:val="0"/>
        <w:adjustRightInd w:val="0"/>
        <w:jc w:val="both"/>
      </w:pPr>
    </w:p>
    <w:p w:rsidR="00C9769F" w:rsidRPr="00D50E91" w:rsidRDefault="00C9769F" w:rsidP="00C9769F">
      <w:pPr>
        <w:autoSpaceDE w:val="0"/>
        <w:autoSpaceDN w:val="0"/>
        <w:adjustRightInd w:val="0"/>
        <w:jc w:val="both"/>
      </w:pPr>
    </w:p>
    <w:p w:rsidR="00C9769F" w:rsidRPr="00D50E91" w:rsidRDefault="00C9769F" w:rsidP="00C9769F">
      <w:pPr>
        <w:autoSpaceDE w:val="0"/>
        <w:autoSpaceDN w:val="0"/>
        <w:adjustRightInd w:val="0"/>
        <w:jc w:val="both"/>
      </w:pPr>
      <w:r w:rsidRPr="00D50E91">
        <w:t>(6) Az R. 4. § (2) bekezdés 77. pontja helyébe a következő rendelkezés lép:</w:t>
      </w:r>
    </w:p>
    <w:p w:rsidR="00C9769F" w:rsidRPr="00D50E91" w:rsidRDefault="00C9769F" w:rsidP="00C9769F">
      <w:pPr>
        <w:autoSpaceDE w:val="0"/>
        <w:autoSpaceDN w:val="0"/>
        <w:adjustRightInd w:val="0"/>
        <w:jc w:val="both"/>
      </w:pPr>
    </w:p>
    <w:p w:rsidR="00C9769F" w:rsidRPr="00D50E91" w:rsidRDefault="00C9769F" w:rsidP="00C9769F">
      <w:pPr>
        <w:autoSpaceDE w:val="0"/>
        <w:autoSpaceDN w:val="0"/>
        <w:adjustRightInd w:val="0"/>
        <w:jc w:val="both"/>
        <w:rPr>
          <w:i/>
        </w:rPr>
      </w:pPr>
      <w:r w:rsidRPr="00D50E91">
        <w:rPr>
          <w:i/>
        </w:rPr>
        <w:t>[E rendelet alkalmazásában]</w:t>
      </w:r>
    </w:p>
    <w:p w:rsidR="00C9769F" w:rsidRPr="00D50E91" w:rsidRDefault="00C9769F" w:rsidP="00C9769F">
      <w:pPr>
        <w:autoSpaceDE w:val="0"/>
        <w:autoSpaceDN w:val="0"/>
        <w:adjustRightInd w:val="0"/>
        <w:jc w:val="both"/>
      </w:pPr>
      <w:r w:rsidRPr="00D50E91">
        <w:t xml:space="preserve">„77. </w:t>
      </w:r>
      <w:r w:rsidRPr="00D50E91">
        <w:rPr>
          <w:i/>
        </w:rPr>
        <w:t>kiürítés:</w:t>
      </w:r>
      <w:r w:rsidRPr="00D50E91">
        <w:t xml:space="preserve"> az épületben, épületen, speciális építményben, szabadtéren tartózkodó személyek eltávozása, eltávolítása tűz esetén, ami a tartózkodási hely elhagyásától a biztonságos tér vagy az átmeneti védett tér eléréséig tart,”</w:t>
      </w:r>
    </w:p>
    <w:p w:rsidR="00C9769F" w:rsidRPr="00D50E91" w:rsidRDefault="00C9769F" w:rsidP="00C9769F">
      <w:pPr>
        <w:autoSpaceDE w:val="0"/>
        <w:autoSpaceDN w:val="0"/>
        <w:adjustRightInd w:val="0"/>
        <w:jc w:val="both"/>
      </w:pPr>
    </w:p>
    <w:p w:rsidR="00C9769F" w:rsidRPr="00D50E91" w:rsidRDefault="00C9769F" w:rsidP="00C9769F">
      <w:pPr>
        <w:autoSpaceDE w:val="0"/>
        <w:autoSpaceDN w:val="0"/>
        <w:adjustRightInd w:val="0"/>
        <w:jc w:val="both"/>
      </w:pPr>
      <w:r w:rsidRPr="00D50E91">
        <w:t>(7) Az R. 4. § (2) bekezdés 108. pontja helyébe a következő rendelkezés lép:</w:t>
      </w:r>
    </w:p>
    <w:p w:rsidR="00C9769F" w:rsidRPr="00D50E91" w:rsidRDefault="00C9769F" w:rsidP="00C9769F">
      <w:pPr>
        <w:autoSpaceDE w:val="0"/>
        <w:autoSpaceDN w:val="0"/>
        <w:adjustRightInd w:val="0"/>
        <w:jc w:val="both"/>
      </w:pPr>
    </w:p>
    <w:p w:rsidR="00C9769F" w:rsidRPr="00D50E91" w:rsidRDefault="00C9769F" w:rsidP="00C9769F">
      <w:pPr>
        <w:autoSpaceDE w:val="0"/>
        <w:autoSpaceDN w:val="0"/>
        <w:adjustRightInd w:val="0"/>
        <w:jc w:val="both"/>
        <w:rPr>
          <w:i/>
        </w:rPr>
      </w:pPr>
      <w:r w:rsidRPr="00D50E91">
        <w:rPr>
          <w:i/>
        </w:rPr>
        <w:t>[E rendelet alkalmazásában]</w:t>
      </w:r>
    </w:p>
    <w:p w:rsidR="00C9769F" w:rsidRPr="00D50E91" w:rsidRDefault="00C9769F" w:rsidP="00C9769F">
      <w:pPr>
        <w:autoSpaceDE w:val="0"/>
        <w:autoSpaceDN w:val="0"/>
        <w:adjustRightInd w:val="0"/>
        <w:jc w:val="both"/>
      </w:pPr>
      <w:r w:rsidRPr="00D50E91">
        <w:t xml:space="preserve">„108. </w:t>
      </w:r>
      <w:r w:rsidRPr="00D50E91">
        <w:rPr>
          <w:i/>
        </w:rPr>
        <w:t>nem éghető anyag:</w:t>
      </w:r>
      <w:r w:rsidRPr="00D50E91">
        <w:t xml:space="preserve"> szervetlen vagy alacsony szervesanyag</w:t>
      </w:r>
      <w:r w:rsidR="003528A8">
        <w:t>-</w:t>
      </w:r>
      <w:r w:rsidRPr="00D50E91">
        <w:t>tartalmú anyag, amelynek gyulladási hőmérséklete a vonatkozó műszaki eljárásban a meghatározási hőmérséklethatárig nem állapítható meg, valamint az A1 és A2 tűzvédelmi osztályba sorolt építőanyag, és azok a B</w:t>
      </w:r>
      <w:r w:rsidR="003528A8">
        <w:t>-</w:t>
      </w:r>
      <w:r w:rsidRPr="00D50E91">
        <w:t>F tűzvédelmi osztályba sorolt szilárd építőanyagok, amelyeknek a szabványos laboratóriumi vizsgálati módszerrel megállapított, a termék egészére vonatkozó égéshője nem haladja meg a 3,0 MJ/kg</w:t>
      </w:r>
      <w:r w:rsidR="003528A8">
        <w:t>-</w:t>
      </w:r>
      <w:r w:rsidRPr="00D50E91">
        <w:t>ot,”</w:t>
      </w:r>
    </w:p>
    <w:p w:rsidR="00C9769F" w:rsidRPr="00D50E91" w:rsidRDefault="00C9769F" w:rsidP="00C9769F">
      <w:pPr>
        <w:autoSpaceDE w:val="0"/>
        <w:autoSpaceDN w:val="0"/>
        <w:adjustRightInd w:val="0"/>
        <w:jc w:val="both"/>
      </w:pPr>
    </w:p>
    <w:p w:rsidR="00C9769F" w:rsidRPr="00D50E91" w:rsidRDefault="00C9769F" w:rsidP="00C9769F">
      <w:pPr>
        <w:autoSpaceDE w:val="0"/>
        <w:autoSpaceDN w:val="0"/>
        <w:adjustRightInd w:val="0"/>
        <w:jc w:val="both"/>
      </w:pPr>
      <w:r w:rsidRPr="00D50E91">
        <w:t>(8) Az R. 4. § (2) bekezdés 129. pontja helyébe a következő rendelkezés lép:</w:t>
      </w:r>
    </w:p>
    <w:p w:rsidR="00C9769F" w:rsidRPr="00D50E91" w:rsidRDefault="00C9769F" w:rsidP="00C9769F">
      <w:pPr>
        <w:autoSpaceDE w:val="0"/>
        <w:autoSpaceDN w:val="0"/>
        <w:adjustRightInd w:val="0"/>
        <w:jc w:val="both"/>
      </w:pPr>
    </w:p>
    <w:p w:rsidR="00C9769F" w:rsidRPr="00D50E91" w:rsidRDefault="00C9769F" w:rsidP="00C9769F">
      <w:pPr>
        <w:autoSpaceDE w:val="0"/>
        <w:autoSpaceDN w:val="0"/>
        <w:adjustRightInd w:val="0"/>
        <w:jc w:val="both"/>
      </w:pPr>
      <w:r w:rsidRPr="00D50E91">
        <w:rPr>
          <w:i/>
        </w:rPr>
        <w:t>[E rendelet alkalmazásában]</w:t>
      </w:r>
    </w:p>
    <w:p w:rsidR="00C9769F" w:rsidRPr="00D50E91" w:rsidRDefault="00C9769F" w:rsidP="00C9769F">
      <w:pPr>
        <w:autoSpaceDE w:val="0"/>
        <w:autoSpaceDN w:val="0"/>
        <w:adjustRightInd w:val="0"/>
        <w:jc w:val="both"/>
      </w:pPr>
      <w:r w:rsidRPr="00D50E91">
        <w:t xml:space="preserve">„129. </w:t>
      </w:r>
      <w:r w:rsidRPr="00D50E91">
        <w:rPr>
          <w:i/>
        </w:rPr>
        <w:t>szilárd éghető anyag:</w:t>
      </w:r>
      <w:r w:rsidRPr="00D50E91">
        <w:t xml:space="preserve"> szobahőmérsékleten szilárd halmazállapotú, szerves</w:t>
      </w:r>
      <w:r w:rsidR="003528A8">
        <w:t>-</w:t>
      </w:r>
      <w:r w:rsidRPr="00D50E91">
        <w:t xml:space="preserve"> vagy alacsony szervetlenanyag</w:t>
      </w:r>
      <w:r w:rsidR="003528A8">
        <w:t>-</w:t>
      </w:r>
      <w:r w:rsidRPr="00D50E91">
        <w:t>tartalmú anyag, amelynek a gyulladási hőmérséklete a vonatkozó műszaki eljárással meghatározható, valamint a B</w:t>
      </w:r>
      <w:r w:rsidR="003528A8">
        <w:t>-</w:t>
      </w:r>
      <w:r w:rsidRPr="00D50E91">
        <w:t>F tűzvédelmi osztályba sorolt szilárd építőanyagok, amelyeknek a szabványos laboratóriumi vizsgálati módszerrel megállapított, a termék egészére vonatkozó égéshője 3,0 MJ/kg</w:t>
      </w:r>
      <w:r w:rsidR="003528A8">
        <w:t>-</w:t>
      </w:r>
      <w:r w:rsidRPr="00D50E91">
        <w:t>nál nagyobb,”</w:t>
      </w:r>
    </w:p>
    <w:p w:rsidR="00C9769F" w:rsidRPr="00D50E91" w:rsidRDefault="00C9769F" w:rsidP="00C9769F">
      <w:pPr>
        <w:autoSpaceDE w:val="0"/>
        <w:autoSpaceDN w:val="0"/>
        <w:adjustRightInd w:val="0"/>
        <w:jc w:val="both"/>
      </w:pPr>
    </w:p>
    <w:p w:rsidR="00C9769F" w:rsidRPr="00D50E91" w:rsidRDefault="00C9769F" w:rsidP="00C9769F">
      <w:pPr>
        <w:autoSpaceDE w:val="0"/>
        <w:autoSpaceDN w:val="0"/>
        <w:adjustRightInd w:val="0"/>
        <w:jc w:val="both"/>
      </w:pPr>
      <w:r w:rsidRPr="00D50E91">
        <w:t>(9) Az R. 4. § (2) bekezdés 133. pontja helyébe a következő rendelkezés lép:</w:t>
      </w:r>
    </w:p>
    <w:p w:rsidR="00C9769F" w:rsidRPr="00D50E91" w:rsidRDefault="00C9769F" w:rsidP="00C9769F">
      <w:pPr>
        <w:autoSpaceDE w:val="0"/>
        <w:autoSpaceDN w:val="0"/>
        <w:adjustRightInd w:val="0"/>
        <w:jc w:val="both"/>
      </w:pPr>
    </w:p>
    <w:p w:rsidR="00C9769F" w:rsidRPr="00D50E91" w:rsidRDefault="00C9769F" w:rsidP="00C9769F">
      <w:pPr>
        <w:autoSpaceDE w:val="0"/>
        <w:autoSpaceDN w:val="0"/>
        <w:adjustRightInd w:val="0"/>
        <w:jc w:val="both"/>
        <w:rPr>
          <w:i/>
        </w:rPr>
      </w:pPr>
      <w:r w:rsidRPr="00D50E91">
        <w:rPr>
          <w:i/>
        </w:rPr>
        <w:t>[E rendelet alkalmazásában]</w:t>
      </w:r>
    </w:p>
    <w:p w:rsidR="00C9769F" w:rsidRPr="00D50E91" w:rsidRDefault="00C9769F" w:rsidP="00C9769F">
      <w:pPr>
        <w:autoSpaceDE w:val="0"/>
        <w:autoSpaceDN w:val="0"/>
        <w:adjustRightInd w:val="0"/>
        <w:jc w:val="both"/>
      </w:pPr>
      <w:r w:rsidRPr="00D50E91">
        <w:t xml:space="preserve">„133. </w:t>
      </w:r>
      <w:r w:rsidRPr="00D50E91">
        <w:rPr>
          <w:i/>
        </w:rPr>
        <w:t>teljes körű védelem:</w:t>
      </w:r>
      <w:r w:rsidRPr="00D50E91">
        <w:t xml:space="preserve"> olyan védelem, amelynek során a beépített tűzjelző berendezés által védett tér valamennyi részének automatikus érzékelővel való lefedettsége biztosított, kivéve a védelemből kihagyható tereket,”</w:t>
      </w:r>
    </w:p>
    <w:p w:rsidR="00C9769F" w:rsidRPr="00D50E91" w:rsidRDefault="00C9769F" w:rsidP="00C9769F">
      <w:pPr>
        <w:autoSpaceDE w:val="0"/>
        <w:autoSpaceDN w:val="0"/>
        <w:adjustRightInd w:val="0"/>
        <w:jc w:val="both"/>
      </w:pPr>
    </w:p>
    <w:p w:rsidR="00C9769F" w:rsidRPr="00D50E91" w:rsidRDefault="00C9769F" w:rsidP="00C9769F">
      <w:pPr>
        <w:autoSpaceDE w:val="0"/>
        <w:autoSpaceDN w:val="0"/>
        <w:adjustRightInd w:val="0"/>
        <w:jc w:val="both"/>
      </w:pPr>
      <w:r w:rsidRPr="00D50E91">
        <w:t>(10) Az R. 4. § (2) bekezdés 137. pontja helyébe a következő rendelkezés lép:</w:t>
      </w:r>
    </w:p>
    <w:p w:rsidR="00C9769F" w:rsidRPr="00D50E91" w:rsidRDefault="00C9769F" w:rsidP="00C9769F">
      <w:pPr>
        <w:autoSpaceDE w:val="0"/>
        <w:autoSpaceDN w:val="0"/>
        <w:adjustRightInd w:val="0"/>
        <w:jc w:val="both"/>
      </w:pPr>
    </w:p>
    <w:p w:rsidR="00C9769F" w:rsidRPr="00D50E91" w:rsidRDefault="00C9769F" w:rsidP="00C9769F">
      <w:pPr>
        <w:autoSpaceDE w:val="0"/>
        <w:autoSpaceDN w:val="0"/>
        <w:adjustRightInd w:val="0"/>
        <w:jc w:val="both"/>
        <w:rPr>
          <w:i/>
        </w:rPr>
      </w:pPr>
      <w:r w:rsidRPr="00D50E91">
        <w:rPr>
          <w:i/>
        </w:rPr>
        <w:t>[E rendelet alkalmazásában]</w:t>
      </w:r>
    </w:p>
    <w:p w:rsidR="00C9769F" w:rsidRPr="00D50E91" w:rsidRDefault="00C9769F" w:rsidP="00C9769F">
      <w:pPr>
        <w:autoSpaceDE w:val="0"/>
        <w:autoSpaceDN w:val="0"/>
        <w:adjustRightInd w:val="0"/>
        <w:jc w:val="both"/>
      </w:pPr>
      <w:r w:rsidRPr="00D50E91">
        <w:lastRenderedPageBreak/>
        <w:t xml:space="preserve">„137. </w:t>
      </w:r>
      <w:r w:rsidRPr="00D50E91">
        <w:rPr>
          <w:i/>
        </w:rPr>
        <w:t>felülvilágító:</w:t>
      </w:r>
      <w:r w:rsidRPr="00D50E91">
        <w:t xml:space="preserve"> a helyiséget felülről lezáró szerkezet alatti helyiség, térrész bevilágítását szolgáló építési termék, építményszerkezet,”</w:t>
      </w:r>
    </w:p>
    <w:p w:rsidR="00C9769F" w:rsidRPr="00D50E91" w:rsidRDefault="00C9769F" w:rsidP="00C9769F">
      <w:pPr>
        <w:autoSpaceDE w:val="0"/>
        <w:autoSpaceDN w:val="0"/>
        <w:adjustRightInd w:val="0"/>
        <w:jc w:val="both"/>
      </w:pPr>
    </w:p>
    <w:p w:rsidR="00C9769F" w:rsidRPr="00D50E91" w:rsidRDefault="00C9769F" w:rsidP="00C9769F">
      <w:pPr>
        <w:autoSpaceDE w:val="0"/>
        <w:autoSpaceDN w:val="0"/>
        <w:adjustRightInd w:val="0"/>
        <w:jc w:val="both"/>
      </w:pPr>
      <w:r w:rsidRPr="00D50E91">
        <w:t>(11) Az R. 4. § (2) bekezdés 161. pontja helyébe a következő rendelkezés lép:</w:t>
      </w:r>
    </w:p>
    <w:p w:rsidR="00C9769F" w:rsidRPr="00D50E91" w:rsidRDefault="00C9769F" w:rsidP="00C9769F">
      <w:pPr>
        <w:autoSpaceDE w:val="0"/>
        <w:autoSpaceDN w:val="0"/>
        <w:adjustRightInd w:val="0"/>
        <w:jc w:val="both"/>
      </w:pPr>
    </w:p>
    <w:p w:rsidR="00C9769F" w:rsidRPr="00D50E91" w:rsidRDefault="00C9769F" w:rsidP="00C9769F">
      <w:pPr>
        <w:autoSpaceDE w:val="0"/>
        <w:autoSpaceDN w:val="0"/>
        <w:adjustRightInd w:val="0"/>
        <w:jc w:val="both"/>
        <w:rPr>
          <w:i/>
        </w:rPr>
      </w:pPr>
      <w:r w:rsidRPr="00D50E91">
        <w:rPr>
          <w:i/>
        </w:rPr>
        <w:t>[E rendelet alkalmazásában]</w:t>
      </w:r>
    </w:p>
    <w:p w:rsidR="00C9769F" w:rsidRPr="00D50E91" w:rsidRDefault="00C9769F" w:rsidP="00C9769F">
      <w:pPr>
        <w:autoSpaceDE w:val="0"/>
        <w:autoSpaceDN w:val="0"/>
        <w:adjustRightInd w:val="0"/>
        <w:jc w:val="both"/>
      </w:pPr>
      <w:r w:rsidRPr="00D50E91">
        <w:t xml:space="preserve">„161. </w:t>
      </w:r>
      <w:r w:rsidRPr="00D50E91">
        <w:rPr>
          <w:i/>
        </w:rPr>
        <w:t>tűzgátló válaszfal:</w:t>
      </w:r>
      <w:r w:rsidRPr="00D50E91">
        <w:t xml:space="preserve"> tűzgátló lezárások nélkül kialakított, nem teherhordó, egy tűzszakaszon belüli szomszédos helyiségeket elválasztó falszerkezet, amely </w:t>
      </w:r>
      <w:r w:rsidR="003528A8">
        <w:t>-</w:t>
      </w:r>
      <w:r w:rsidRPr="00D50E91">
        <w:t xml:space="preserve"> a tömör falfelületen vizsgálva </w:t>
      </w:r>
      <w:r w:rsidR="003528A8">
        <w:t>-</w:t>
      </w:r>
      <w:r w:rsidRPr="00D50E91">
        <w:t xml:space="preserve"> az általa elválasztott helyiségek között a tűz átterjedését meghatározott ideig meggátolja,”</w:t>
      </w:r>
    </w:p>
    <w:p w:rsidR="00C9769F" w:rsidRPr="00D50E91" w:rsidRDefault="00C9769F" w:rsidP="00C9769F">
      <w:pPr>
        <w:autoSpaceDE w:val="0"/>
        <w:autoSpaceDN w:val="0"/>
        <w:adjustRightInd w:val="0"/>
        <w:jc w:val="both"/>
      </w:pPr>
    </w:p>
    <w:p w:rsidR="00C9769F" w:rsidRPr="00D50E91" w:rsidRDefault="00C9769F" w:rsidP="00C9769F">
      <w:pPr>
        <w:autoSpaceDE w:val="0"/>
        <w:autoSpaceDN w:val="0"/>
        <w:adjustRightInd w:val="0"/>
        <w:jc w:val="both"/>
      </w:pPr>
      <w:r w:rsidRPr="00D50E91">
        <w:t>(12) Az R. 4. § (2) bekezdés 163. pontja helyébe a következő rendelkezés lép:</w:t>
      </w:r>
    </w:p>
    <w:p w:rsidR="00C9769F" w:rsidRPr="00D50E91" w:rsidRDefault="00C9769F" w:rsidP="00C9769F">
      <w:pPr>
        <w:autoSpaceDE w:val="0"/>
        <w:autoSpaceDN w:val="0"/>
        <w:adjustRightInd w:val="0"/>
        <w:jc w:val="both"/>
      </w:pPr>
    </w:p>
    <w:p w:rsidR="00C9769F" w:rsidRPr="00D50E91" w:rsidRDefault="00C9769F" w:rsidP="00C9769F">
      <w:pPr>
        <w:autoSpaceDE w:val="0"/>
        <w:autoSpaceDN w:val="0"/>
        <w:adjustRightInd w:val="0"/>
        <w:jc w:val="both"/>
        <w:rPr>
          <w:i/>
        </w:rPr>
      </w:pPr>
      <w:r w:rsidRPr="00D50E91">
        <w:rPr>
          <w:i/>
        </w:rPr>
        <w:t>[E rendelet alkalmazásában]</w:t>
      </w:r>
    </w:p>
    <w:p w:rsidR="00C9769F" w:rsidRPr="00D50E91" w:rsidRDefault="00C9769F" w:rsidP="00C9769F">
      <w:pPr>
        <w:autoSpaceDE w:val="0"/>
        <w:autoSpaceDN w:val="0"/>
        <w:adjustRightInd w:val="0"/>
        <w:jc w:val="both"/>
      </w:pPr>
      <w:r w:rsidRPr="00D50E91">
        <w:t xml:space="preserve">„163. </w:t>
      </w:r>
      <w:r w:rsidRPr="00D50E91">
        <w:rPr>
          <w:i/>
        </w:rPr>
        <w:t>tűzoltási felvonulási terület:</w:t>
      </w:r>
      <w:r w:rsidRPr="00D50E91">
        <w:t xml:space="preserve"> az építmények tűzoltására, mentésre szolgáló terület, amely a beavatkozáshoz szükséges tűzoltás technikai eszközök és a tűzoltóegységek rendeltetésszerű működésének feltételeit biztosítja,”</w:t>
      </w:r>
    </w:p>
    <w:p w:rsidR="00C9769F" w:rsidRPr="00D50E91" w:rsidRDefault="00C9769F" w:rsidP="00C9769F">
      <w:pPr>
        <w:autoSpaceDE w:val="0"/>
        <w:autoSpaceDN w:val="0"/>
        <w:adjustRightInd w:val="0"/>
        <w:jc w:val="both"/>
      </w:pPr>
    </w:p>
    <w:p w:rsidR="00C9769F" w:rsidRPr="00D50E91" w:rsidRDefault="00C9769F" w:rsidP="00C9769F">
      <w:pPr>
        <w:autoSpaceDE w:val="0"/>
        <w:autoSpaceDN w:val="0"/>
        <w:adjustRightInd w:val="0"/>
        <w:jc w:val="both"/>
      </w:pPr>
      <w:r w:rsidRPr="00D50E91">
        <w:t>(13) Az R. 4. § (2) bekezdés 173. pontja helyébe a következő rendelkezés lép:</w:t>
      </w:r>
    </w:p>
    <w:p w:rsidR="00C9769F" w:rsidRPr="00D50E91" w:rsidRDefault="00C9769F" w:rsidP="00C9769F">
      <w:pPr>
        <w:autoSpaceDE w:val="0"/>
        <w:autoSpaceDN w:val="0"/>
        <w:adjustRightInd w:val="0"/>
        <w:jc w:val="both"/>
      </w:pPr>
    </w:p>
    <w:p w:rsidR="00C9769F" w:rsidRPr="00D50E91" w:rsidRDefault="00C9769F" w:rsidP="00C9769F">
      <w:pPr>
        <w:autoSpaceDE w:val="0"/>
        <w:autoSpaceDN w:val="0"/>
        <w:adjustRightInd w:val="0"/>
        <w:jc w:val="both"/>
      </w:pPr>
      <w:r w:rsidRPr="00D50E91">
        <w:t xml:space="preserve">„173. </w:t>
      </w:r>
      <w:r w:rsidRPr="00D50E91">
        <w:rPr>
          <w:i/>
        </w:rPr>
        <w:t>tűzszakaszterület:</w:t>
      </w:r>
      <w:r w:rsidRPr="00D50E91">
        <w:t xml:space="preserve"> az egy adott tűzszakaszhoz tartozó helyiségek nettó alapterületének, szabadtéri tárolóterület esetén a tárolásra szolgáló térrész alapterületének összessége m</w:t>
      </w:r>
      <w:r w:rsidRPr="00D50E91">
        <w:rPr>
          <w:vertAlign w:val="superscript"/>
        </w:rPr>
        <w:t>2</w:t>
      </w:r>
      <w:r w:rsidR="003528A8">
        <w:t>-</w:t>
      </w:r>
      <w:r w:rsidRPr="00D50E91">
        <w:t>ben,”</w:t>
      </w:r>
    </w:p>
    <w:p w:rsidR="00C9769F" w:rsidRPr="00D50E91" w:rsidRDefault="00C9769F" w:rsidP="00C9769F">
      <w:pPr>
        <w:autoSpaceDE w:val="0"/>
        <w:autoSpaceDN w:val="0"/>
        <w:adjustRightInd w:val="0"/>
        <w:jc w:val="both"/>
      </w:pPr>
    </w:p>
    <w:p w:rsidR="00C9769F" w:rsidRPr="00D50E91" w:rsidRDefault="00C9769F" w:rsidP="00C9769F">
      <w:pPr>
        <w:autoSpaceDE w:val="0"/>
        <w:autoSpaceDN w:val="0"/>
        <w:adjustRightInd w:val="0"/>
        <w:jc w:val="both"/>
      </w:pPr>
    </w:p>
    <w:p w:rsidR="00C9769F" w:rsidRPr="00D50E91" w:rsidRDefault="00C9769F" w:rsidP="00C9769F">
      <w:pPr>
        <w:autoSpaceDE w:val="0"/>
        <w:autoSpaceDN w:val="0"/>
        <w:adjustRightInd w:val="0"/>
        <w:jc w:val="both"/>
      </w:pPr>
      <w:r w:rsidRPr="00D50E91">
        <w:t>(14) Az R. 4. § (2) bekezdés 182. pontja helyébe a következő rendelkezés lép:</w:t>
      </w:r>
    </w:p>
    <w:p w:rsidR="00C9769F" w:rsidRPr="00D50E91" w:rsidRDefault="00C9769F" w:rsidP="00C9769F">
      <w:pPr>
        <w:autoSpaceDE w:val="0"/>
        <w:autoSpaceDN w:val="0"/>
        <w:adjustRightInd w:val="0"/>
        <w:jc w:val="both"/>
      </w:pPr>
    </w:p>
    <w:p w:rsidR="00C9769F" w:rsidRPr="00D50E91" w:rsidRDefault="00C9769F" w:rsidP="00C9769F">
      <w:pPr>
        <w:autoSpaceDE w:val="0"/>
        <w:autoSpaceDN w:val="0"/>
        <w:adjustRightInd w:val="0"/>
        <w:jc w:val="both"/>
        <w:rPr>
          <w:i/>
        </w:rPr>
      </w:pPr>
      <w:r w:rsidRPr="00D50E91">
        <w:rPr>
          <w:i/>
        </w:rPr>
        <w:t>[E rendelet alkalmazásában]</w:t>
      </w:r>
    </w:p>
    <w:p w:rsidR="00C9769F" w:rsidRPr="00D50E91" w:rsidRDefault="00C9769F" w:rsidP="00C9769F">
      <w:pPr>
        <w:autoSpaceDE w:val="0"/>
        <w:autoSpaceDN w:val="0"/>
        <w:adjustRightInd w:val="0"/>
        <w:jc w:val="both"/>
      </w:pPr>
      <w:r w:rsidRPr="00D50E91">
        <w:t xml:space="preserve">„182. </w:t>
      </w:r>
      <w:r w:rsidRPr="00D50E91">
        <w:rPr>
          <w:i/>
        </w:rPr>
        <w:t>tűzgátló álmennyezet:</w:t>
      </w:r>
      <w:r w:rsidRPr="00D50E91">
        <w:t xml:space="preserve"> egy helyiségben, legfeljebb egy tűzszakaszban kialakított olyan álmennyezet, amely tűzvédelmi jellemzőinél fogva a felette lévő födémmel vagy tetőszerkezettel együtt az előírt tűzállósági teljesítményjellemzőket biztosítja,”</w:t>
      </w:r>
    </w:p>
    <w:p w:rsidR="00C9769F" w:rsidRPr="00D50E91" w:rsidRDefault="00C9769F" w:rsidP="00C9769F">
      <w:pPr>
        <w:autoSpaceDE w:val="0"/>
        <w:autoSpaceDN w:val="0"/>
        <w:adjustRightInd w:val="0"/>
        <w:jc w:val="both"/>
      </w:pPr>
    </w:p>
    <w:p w:rsidR="00C9769F" w:rsidRPr="00D50E91" w:rsidRDefault="00C9769F" w:rsidP="00C9769F">
      <w:pPr>
        <w:keepNext/>
        <w:numPr>
          <w:ilvl w:val="0"/>
          <w:numId w:val="2"/>
        </w:numPr>
        <w:spacing w:line="276" w:lineRule="auto"/>
        <w:ind w:left="0" w:firstLine="0"/>
        <w:jc w:val="center"/>
        <w:outlineLvl w:val="1"/>
        <w:rPr>
          <w:b/>
          <w:bCs/>
        </w:rPr>
      </w:pPr>
      <w:r w:rsidRPr="00D50E91">
        <w:rPr>
          <w:b/>
          <w:bCs/>
        </w:rPr>
        <w:t>§</w:t>
      </w:r>
    </w:p>
    <w:p w:rsidR="00C9769F" w:rsidRPr="00D50E91" w:rsidRDefault="00C9769F" w:rsidP="00C9769F">
      <w:pPr>
        <w:autoSpaceDE w:val="0"/>
        <w:autoSpaceDN w:val="0"/>
        <w:adjustRightInd w:val="0"/>
        <w:jc w:val="both"/>
      </w:pPr>
    </w:p>
    <w:p w:rsidR="00C9769F" w:rsidRPr="00D50E91" w:rsidRDefault="00C9769F" w:rsidP="00C9769F">
      <w:pPr>
        <w:autoSpaceDE w:val="0"/>
        <w:autoSpaceDN w:val="0"/>
        <w:adjustRightInd w:val="0"/>
        <w:jc w:val="both"/>
      </w:pPr>
      <w:r w:rsidRPr="00D50E91">
        <w:t>Az R. 4. § (2) bekezdése a következő 201</w:t>
      </w:r>
      <w:r w:rsidR="003528A8">
        <w:t>-</w:t>
      </w:r>
      <w:r w:rsidRPr="00D50E91">
        <w:t>209. ponttal egészül ki:</w:t>
      </w:r>
    </w:p>
    <w:p w:rsidR="00C9769F" w:rsidRPr="00D50E91" w:rsidRDefault="00C9769F" w:rsidP="00C9769F">
      <w:pPr>
        <w:autoSpaceDE w:val="0"/>
        <w:autoSpaceDN w:val="0"/>
        <w:adjustRightInd w:val="0"/>
        <w:jc w:val="both"/>
      </w:pPr>
    </w:p>
    <w:p w:rsidR="00C9769F" w:rsidRPr="00D50E91" w:rsidRDefault="00C9769F" w:rsidP="00C9769F">
      <w:pPr>
        <w:autoSpaceDE w:val="0"/>
        <w:autoSpaceDN w:val="0"/>
        <w:adjustRightInd w:val="0"/>
        <w:jc w:val="both"/>
        <w:rPr>
          <w:i/>
        </w:rPr>
      </w:pPr>
      <w:r w:rsidRPr="00D50E91">
        <w:rPr>
          <w:i/>
        </w:rPr>
        <w:t>[E rendelet alkalmazásában]</w:t>
      </w:r>
    </w:p>
    <w:p w:rsidR="00C9769F" w:rsidRPr="00D50E91" w:rsidRDefault="00C9769F" w:rsidP="00C9769F">
      <w:pPr>
        <w:autoSpaceDE w:val="0"/>
        <w:autoSpaceDN w:val="0"/>
        <w:adjustRightInd w:val="0"/>
        <w:jc w:val="both"/>
      </w:pPr>
      <w:r w:rsidRPr="00D50E91">
        <w:t xml:space="preserve">„201. </w:t>
      </w:r>
      <w:r w:rsidRPr="00D50E91">
        <w:rPr>
          <w:i/>
        </w:rPr>
        <w:t>fedett átrium:</w:t>
      </w:r>
      <w:r w:rsidRPr="00D50E91">
        <w:t xml:space="preserve"> épületek belső, két vagy több építményszintet födémáttörésekkel egybefüggő légtérré tevő térrésze,</w:t>
      </w:r>
    </w:p>
    <w:p w:rsidR="00C9769F" w:rsidRPr="00D50E91" w:rsidRDefault="00C9769F" w:rsidP="00C9769F">
      <w:pPr>
        <w:autoSpaceDE w:val="0"/>
        <w:autoSpaceDN w:val="0"/>
        <w:adjustRightInd w:val="0"/>
        <w:jc w:val="both"/>
      </w:pPr>
      <w:r w:rsidRPr="00D50E91">
        <w:t xml:space="preserve">202. </w:t>
      </w:r>
      <w:r w:rsidRPr="00D50E91">
        <w:rPr>
          <w:i/>
        </w:rPr>
        <w:t>kiürítésre szolgáló nyílászáró:</w:t>
      </w:r>
      <w:r w:rsidRPr="00D50E91">
        <w:t xml:space="preserve"> a kiürítés útvonalán beépített nyílászáró,</w:t>
      </w:r>
    </w:p>
    <w:p w:rsidR="00C9769F" w:rsidRPr="00D50E91" w:rsidRDefault="00C9769F" w:rsidP="00C9769F">
      <w:pPr>
        <w:autoSpaceDE w:val="0"/>
        <w:autoSpaceDN w:val="0"/>
        <w:adjustRightInd w:val="0"/>
        <w:jc w:val="both"/>
      </w:pPr>
      <w:r w:rsidRPr="00D50E91">
        <w:t xml:space="preserve">203. </w:t>
      </w:r>
      <w:r w:rsidRPr="00D50E91">
        <w:rPr>
          <w:i/>
        </w:rPr>
        <w:t xml:space="preserve">lábazati felület: </w:t>
      </w:r>
      <w:r w:rsidRPr="00D50E91">
        <w:t>az egy építményszinthez tartozó homlokzati falfelület technológiailag szükséges magasságú sávja, amelynek alsó határa a terepcsatlakozás, alacsonyabb épületcsatlakozás, csatlakozó vízszintes építményszerkezet felső síkja,</w:t>
      </w:r>
    </w:p>
    <w:p w:rsidR="00C9769F" w:rsidRPr="00D50E91" w:rsidRDefault="00C9769F" w:rsidP="00C9769F">
      <w:pPr>
        <w:autoSpaceDE w:val="0"/>
        <w:autoSpaceDN w:val="0"/>
        <w:adjustRightInd w:val="0"/>
        <w:jc w:val="both"/>
      </w:pPr>
      <w:r w:rsidRPr="00D50E91">
        <w:t xml:space="preserve">204. </w:t>
      </w:r>
      <w:r w:rsidRPr="00D50E91">
        <w:rPr>
          <w:i/>
        </w:rPr>
        <w:t>olvadék:</w:t>
      </w:r>
      <w:r w:rsidRPr="00D50E91">
        <w:t xml:space="preserve"> a vonatkozó műszaki követelményben meghatározott állapotú anyag,</w:t>
      </w:r>
    </w:p>
    <w:p w:rsidR="00C9769F" w:rsidRPr="00D50E91" w:rsidRDefault="00C9769F" w:rsidP="00C9769F">
      <w:pPr>
        <w:autoSpaceDE w:val="0"/>
        <w:autoSpaceDN w:val="0"/>
        <w:adjustRightInd w:val="0"/>
        <w:jc w:val="both"/>
      </w:pPr>
      <w:r w:rsidRPr="00D50E91">
        <w:t xml:space="preserve">205. </w:t>
      </w:r>
      <w:r w:rsidRPr="00D50E91">
        <w:rPr>
          <w:i/>
        </w:rPr>
        <w:t>összefüggő tömeggel járó tömegtartózkodás:</w:t>
      </w:r>
      <w:r w:rsidRPr="00D50E91">
        <w:t xml:space="preserve"> személyek csoportja (ideértve a nézőteret is), amelyen belül a fajlagos létszámsűrűség meghaladja szabad téren a 0,5 fő/m</w:t>
      </w:r>
      <w:r w:rsidRPr="00D50E91">
        <w:rPr>
          <w:vertAlign w:val="superscript"/>
        </w:rPr>
        <w:t>2</w:t>
      </w:r>
      <w:r w:rsidR="003528A8">
        <w:t>-</w:t>
      </w:r>
      <w:r w:rsidRPr="00D50E91">
        <w:t>t, épületen, valamint épület helyiségében az 1,0 fő/m</w:t>
      </w:r>
      <w:r w:rsidRPr="00D50E91">
        <w:rPr>
          <w:vertAlign w:val="superscript"/>
        </w:rPr>
        <w:t>2</w:t>
      </w:r>
      <w:r w:rsidR="003528A8">
        <w:t>-</w:t>
      </w:r>
      <w:r w:rsidRPr="00D50E91">
        <w:t>t,</w:t>
      </w:r>
    </w:p>
    <w:p w:rsidR="00C9769F" w:rsidRPr="00D50E91" w:rsidRDefault="00C9769F" w:rsidP="00C9769F">
      <w:pPr>
        <w:autoSpaceDE w:val="0"/>
        <w:autoSpaceDN w:val="0"/>
        <w:adjustRightInd w:val="0"/>
        <w:jc w:val="both"/>
      </w:pPr>
      <w:r w:rsidRPr="00D50E91">
        <w:t xml:space="preserve">206. </w:t>
      </w:r>
      <w:r w:rsidRPr="00D50E91">
        <w:rPr>
          <w:i/>
        </w:rPr>
        <w:t>passzív tárolás:</w:t>
      </w:r>
      <w:r w:rsidRPr="00D50E91">
        <w:t xml:space="preserve"> a tárolt anyag bontatlan, zárt, gyári csomagolásban és edényzetben vagy szállításra minősített csomagolásban és edényzetben történő tárolása, forgalmazása,</w:t>
      </w:r>
    </w:p>
    <w:p w:rsidR="00C9769F" w:rsidRPr="00D50E91" w:rsidRDefault="00C9769F" w:rsidP="00C9769F">
      <w:pPr>
        <w:autoSpaceDE w:val="0"/>
        <w:autoSpaceDN w:val="0"/>
        <w:adjustRightInd w:val="0"/>
        <w:jc w:val="both"/>
      </w:pPr>
      <w:r w:rsidRPr="00D50E91">
        <w:t xml:space="preserve">207. </w:t>
      </w:r>
      <w:r w:rsidRPr="00D50E91">
        <w:rPr>
          <w:i/>
        </w:rPr>
        <w:t>robbanásveszélyes tér:</w:t>
      </w:r>
      <w:r w:rsidRPr="00D50E91">
        <w:t xml:space="preserve"> egy vagy több robbanásveszélyes zóna által alkotott, beltéren vagy kültéren lévő, nyitott vagy zárt térrész,</w:t>
      </w:r>
    </w:p>
    <w:p w:rsidR="00C9769F" w:rsidRPr="00D50E91" w:rsidRDefault="00C9769F" w:rsidP="00C9769F">
      <w:pPr>
        <w:autoSpaceDE w:val="0"/>
        <w:autoSpaceDN w:val="0"/>
        <w:adjustRightInd w:val="0"/>
        <w:jc w:val="both"/>
      </w:pPr>
      <w:r w:rsidRPr="00D50E91">
        <w:lastRenderedPageBreak/>
        <w:t xml:space="preserve">208. </w:t>
      </w:r>
      <w:r w:rsidRPr="00D50E91">
        <w:rPr>
          <w:i/>
        </w:rPr>
        <w:t>tűzvédelmi célú homlokzati sáv:</w:t>
      </w:r>
      <w:r w:rsidRPr="00D50E91">
        <w:t xml:space="preserve"> a külső térelhatároló falon alkalmazott burkolati, bevonati, valamint vakolt hőszigetelő rendszer B</w:t>
      </w:r>
      <w:r w:rsidR="003528A8">
        <w:t>-</w:t>
      </w:r>
      <w:r w:rsidRPr="00D50E91">
        <w:t>E tűzvédelmi osztályú hőszigetelését megszakító és kiváltó, a tűz terjedését korlátozó sáv,</w:t>
      </w:r>
    </w:p>
    <w:p w:rsidR="00C9769F" w:rsidRPr="00D50E91" w:rsidRDefault="00C9769F" w:rsidP="00C9769F">
      <w:pPr>
        <w:autoSpaceDE w:val="0"/>
        <w:autoSpaceDN w:val="0"/>
        <w:adjustRightInd w:val="0"/>
        <w:jc w:val="both"/>
      </w:pPr>
      <w:r w:rsidRPr="00D50E91">
        <w:t xml:space="preserve">209. </w:t>
      </w:r>
      <w:r w:rsidRPr="00D50E91">
        <w:rPr>
          <w:i/>
        </w:rPr>
        <w:t>tűzveszélyességi fokozat:</w:t>
      </w:r>
      <w:r w:rsidRPr="00D50E91">
        <w:t xml:space="preserve"> az éghető folyadékoknak és olvadékoknak a lobbanáspontjuktól és az üzemi hőmérsékletüktől függő, a vonatkozó műszaki követelmény szerinti kategóriája.”</w:t>
      </w:r>
    </w:p>
    <w:p w:rsidR="00C9769F" w:rsidRPr="00D50E91" w:rsidRDefault="00C9769F" w:rsidP="00C9769F">
      <w:pPr>
        <w:autoSpaceDE w:val="0"/>
        <w:autoSpaceDN w:val="0"/>
        <w:adjustRightInd w:val="0"/>
        <w:jc w:val="both"/>
      </w:pPr>
    </w:p>
    <w:p w:rsidR="00C9769F" w:rsidRPr="00D50E91" w:rsidRDefault="00C9769F" w:rsidP="00C9769F">
      <w:pPr>
        <w:keepNext/>
        <w:numPr>
          <w:ilvl w:val="0"/>
          <w:numId w:val="2"/>
        </w:numPr>
        <w:spacing w:line="276" w:lineRule="auto"/>
        <w:ind w:left="0" w:firstLine="0"/>
        <w:jc w:val="center"/>
        <w:outlineLvl w:val="1"/>
        <w:rPr>
          <w:b/>
          <w:bCs/>
        </w:rPr>
      </w:pPr>
      <w:r w:rsidRPr="00D50E91">
        <w:rPr>
          <w:b/>
          <w:bCs/>
        </w:rPr>
        <w:t>§</w:t>
      </w:r>
    </w:p>
    <w:p w:rsidR="00C9769F" w:rsidRPr="00D50E91" w:rsidRDefault="00C9769F" w:rsidP="00C9769F">
      <w:pPr>
        <w:autoSpaceDE w:val="0"/>
        <w:autoSpaceDN w:val="0"/>
        <w:adjustRightInd w:val="0"/>
        <w:jc w:val="both"/>
      </w:pPr>
    </w:p>
    <w:p w:rsidR="00C9769F" w:rsidRPr="00D50E91" w:rsidRDefault="00C9769F" w:rsidP="00C9769F">
      <w:pPr>
        <w:autoSpaceDE w:val="0"/>
        <w:autoSpaceDN w:val="0"/>
        <w:adjustRightInd w:val="0"/>
        <w:jc w:val="both"/>
      </w:pPr>
      <w:r w:rsidRPr="00D50E91">
        <w:t>Az R. 9. §</w:t>
      </w:r>
      <w:r w:rsidR="003528A8">
        <w:t>-</w:t>
      </w:r>
      <w:r w:rsidRPr="00D50E91">
        <w:t>a helyébe a következő rendelkezés lép:</w:t>
      </w:r>
    </w:p>
    <w:p w:rsidR="00C9769F" w:rsidRPr="00D50E91" w:rsidRDefault="00C9769F" w:rsidP="00C9769F">
      <w:pPr>
        <w:autoSpaceDE w:val="0"/>
        <w:autoSpaceDN w:val="0"/>
        <w:adjustRightInd w:val="0"/>
        <w:jc w:val="both"/>
      </w:pPr>
    </w:p>
    <w:p w:rsidR="00C9769F" w:rsidRPr="00D50E91" w:rsidRDefault="00C9769F" w:rsidP="00C9769F">
      <w:pPr>
        <w:autoSpaceDE w:val="0"/>
        <w:autoSpaceDN w:val="0"/>
        <w:adjustRightInd w:val="0"/>
        <w:jc w:val="both"/>
      </w:pPr>
      <w:r w:rsidRPr="00D50E91">
        <w:t>„9. § (1) Fokozottan tűz</w:t>
      </w:r>
      <w:r w:rsidR="003528A8">
        <w:t>-</w:t>
      </w:r>
      <w:r w:rsidRPr="00D50E91">
        <w:t xml:space="preserve"> vagy robbanásveszélyes osztályba tartoznak</w:t>
      </w:r>
    </w:p>
    <w:p w:rsidR="00C9769F" w:rsidRPr="00D50E91" w:rsidRDefault="00C9769F" w:rsidP="00C9769F">
      <w:pPr>
        <w:autoSpaceDE w:val="0"/>
        <w:autoSpaceDN w:val="0"/>
        <w:adjustRightInd w:val="0"/>
        <w:jc w:val="both"/>
      </w:pPr>
      <w:r w:rsidRPr="00D50E91">
        <w:t>a) az anyagok és keverékek osztályozásáról, címkézéséről és csomagolásáról, a 67/548/EGK és az 1999/45/EK irányelv módosításáról és hatályon kívül helyezéséről, valamint az 1907/2006/EK rendelet módosításáról szóló 2008. december 16</w:t>
      </w:r>
      <w:r w:rsidR="003528A8">
        <w:t>-</w:t>
      </w:r>
      <w:r w:rsidRPr="00D50E91">
        <w:t xml:space="preserve">i 1272/2008/EK európai parlamenti és tanácsi rendelet (a továbbiakban: CLP rendelet) szerinti </w:t>
      </w:r>
    </w:p>
    <w:p w:rsidR="00C9769F" w:rsidRPr="00D50E91" w:rsidRDefault="00C9769F" w:rsidP="00C9769F">
      <w:pPr>
        <w:autoSpaceDE w:val="0"/>
        <w:autoSpaceDN w:val="0"/>
        <w:adjustRightInd w:val="0"/>
        <w:jc w:val="both"/>
      </w:pPr>
      <w:r w:rsidRPr="00D50E91">
        <w:t>aa) instabil robbanóanyagok, továbbá az 1.1.</w:t>
      </w:r>
      <w:r w:rsidR="003528A8">
        <w:t>-</w:t>
      </w:r>
      <w:r w:rsidRPr="00D50E91">
        <w:t xml:space="preserve">1.5. alosztályba tartozó robbanóanyag, </w:t>
      </w:r>
    </w:p>
    <w:p w:rsidR="00C9769F" w:rsidRPr="00D50E91" w:rsidRDefault="00C9769F" w:rsidP="00C9769F">
      <w:pPr>
        <w:autoSpaceDE w:val="0"/>
        <w:autoSpaceDN w:val="0"/>
        <w:adjustRightInd w:val="0"/>
        <w:jc w:val="both"/>
      </w:pPr>
      <w:r w:rsidRPr="00D50E91">
        <w:t>ab) 1. és 2. kategóriába tartozó tűzveszélyes gáz, valamint az A. és B. kategóriába tartozó kémiailag instabil gáz,</w:t>
      </w:r>
    </w:p>
    <w:p w:rsidR="00C9769F" w:rsidRPr="00D50E91" w:rsidRDefault="00C9769F" w:rsidP="00C9769F">
      <w:pPr>
        <w:autoSpaceDE w:val="0"/>
        <w:autoSpaceDN w:val="0"/>
        <w:adjustRightInd w:val="0"/>
        <w:jc w:val="both"/>
      </w:pPr>
      <w:r w:rsidRPr="00D50E91">
        <w:t>ac) 1. és 2. kategóriába tartozó aeroszol,</w:t>
      </w:r>
    </w:p>
    <w:p w:rsidR="00C9769F" w:rsidRPr="00D50E91" w:rsidRDefault="00C9769F" w:rsidP="00C9769F">
      <w:pPr>
        <w:autoSpaceDE w:val="0"/>
        <w:autoSpaceDN w:val="0"/>
        <w:adjustRightInd w:val="0"/>
        <w:jc w:val="both"/>
      </w:pPr>
      <w:r w:rsidRPr="00D50E91">
        <w:t>ad) 1. és 2. kategóriába tartozó tűzveszélyes szilárd anyag,</w:t>
      </w:r>
    </w:p>
    <w:p w:rsidR="00C9769F" w:rsidRPr="00D50E91" w:rsidRDefault="00C9769F" w:rsidP="00C9769F">
      <w:pPr>
        <w:autoSpaceDE w:val="0"/>
        <w:autoSpaceDN w:val="0"/>
        <w:adjustRightInd w:val="0"/>
        <w:jc w:val="both"/>
      </w:pPr>
      <w:r w:rsidRPr="00D50E91">
        <w:t xml:space="preserve">ae) A, B, C vagy D típusú önreaktív anyagok és keverékek, </w:t>
      </w:r>
    </w:p>
    <w:p w:rsidR="00C9769F" w:rsidRPr="00D50E91" w:rsidRDefault="00C9769F" w:rsidP="00C9769F">
      <w:pPr>
        <w:autoSpaceDE w:val="0"/>
        <w:autoSpaceDN w:val="0"/>
        <w:adjustRightInd w:val="0"/>
        <w:jc w:val="both"/>
      </w:pPr>
      <w:r w:rsidRPr="00D50E91">
        <w:t>af) 1. kategóriába tartozó piroforos folyadék,</w:t>
      </w:r>
    </w:p>
    <w:p w:rsidR="00C9769F" w:rsidRPr="00D50E91" w:rsidRDefault="00C9769F" w:rsidP="00C9769F">
      <w:pPr>
        <w:autoSpaceDE w:val="0"/>
        <w:autoSpaceDN w:val="0"/>
        <w:adjustRightInd w:val="0"/>
        <w:jc w:val="both"/>
      </w:pPr>
      <w:r w:rsidRPr="00D50E91">
        <w:t>ag) 1. kategóriába tartozó piroforos szilárd anyag,</w:t>
      </w:r>
    </w:p>
    <w:p w:rsidR="00C9769F" w:rsidRPr="00D50E91" w:rsidRDefault="00C9769F" w:rsidP="00C9769F">
      <w:pPr>
        <w:autoSpaceDE w:val="0"/>
        <w:autoSpaceDN w:val="0"/>
        <w:adjustRightInd w:val="0"/>
        <w:jc w:val="both"/>
      </w:pPr>
      <w:r w:rsidRPr="00D50E91">
        <w:t xml:space="preserve">ah) 1. vagy 2. kategóriába tartozó, vízzel érintkezve tűzveszélyes gázokat kibocsátó anyagok és keverékek, </w:t>
      </w:r>
    </w:p>
    <w:p w:rsidR="00C9769F" w:rsidRPr="00D50E91" w:rsidRDefault="00C9769F" w:rsidP="00C9769F">
      <w:pPr>
        <w:autoSpaceDE w:val="0"/>
        <w:autoSpaceDN w:val="0"/>
        <w:adjustRightInd w:val="0"/>
        <w:jc w:val="both"/>
      </w:pPr>
      <w:r w:rsidRPr="00D50E91">
        <w:t xml:space="preserve">ai) 1. kategóriába tartozó oxidáló folyadék, </w:t>
      </w:r>
    </w:p>
    <w:p w:rsidR="00C9769F" w:rsidRPr="00D50E91" w:rsidRDefault="00C9769F" w:rsidP="00C9769F">
      <w:pPr>
        <w:autoSpaceDE w:val="0"/>
        <w:autoSpaceDN w:val="0"/>
        <w:adjustRightInd w:val="0"/>
        <w:jc w:val="both"/>
      </w:pPr>
      <w:r w:rsidRPr="00D50E91">
        <w:t>aj) 1. kategóriába tartozó oxidáló szilárd anyag vagy</w:t>
      </w:r>
    </w:p>
    <w:p w:rsidR="00C9769F" w:rsidRPr="00D50E91" w:rsidRDefault="00C9769F" w:rsidP="00C9769F">
      <w:pPr>
        <w:autoSpaceDE w:val="0"/>
        <w:autoSpaceDN w:val="0"/>
        <w:adjustRightInd w:val="0"/>
        <w:jc w:val="both"/>
      </w:pPr>
      <w:r w:rsidRPr="00D50E91">
        <w:t>ak) A, B, C vagy D típusú szerves peroxid,</w:t>
      </w:r>
    </w:p>
    <w:p w:rsidR="00C9769F" w:rsidRPr="00D50E91" w:rsidRDefault="0026168C" w:rsidP="00C9769F">
      <w:pPr>
        <w:autoSpaceDE w:val="0"/>
        <w:autoSpaceDN w:val="0"/>
        <w:adjustRightInd w:val="0"/>
        <w:jc w:val="both"/>
      </w:pPr>
      <w:r>
        <w:t>b</w:t>
      </w:r>
      <w:r w:rsidR="00C9769F" w:rsidRPr="00D50E91">
        <w:t xml:space="preserve">) </w:t>
      </w:r>
      <w:r>
        <w:t xml:space="preserve">a CLP rendelet szerinti </w:t>
      </w:r>
      <w:r w:rsidR="00C9769F" w:rsidRPr="00D50E91">
        <w:t xml:space="preserve">az 1., 2. vagy 3. kategóriába tartozó tűzveszélyes folyadékok közül </w:t>
      </w:r>
    </w:p>
    <w:p w:rsidR="00C9769F" w:rsidRPr="00D50E91" w:rsidRDefault="0026168C" w:rsidP="00C9769F">
      <w:pPr>
        <w:autoSpaceDE w:val="0"/>
        <w:autoSpaceDN w:val="0"/>
        <w:adjustRightInd w:val="0"/>
        <w:jc w:val="both"/>
      </w:pPr>
      <w:r>
        <w:t>ba)</w:t>
      </w:r>
      <w:r w:rsidR="00C9769F" w:rsidRPr="00D50E91">
        <w:t xml:space="preserve"> a 21 </w:t>
      </w:r>
      <w:r w:rsidR="00C9769F" w:rsidRPr="00D50E91">
        <w:rPr>
          <w:vertAlign w:val="superscript"/>
        </w:rPr>
        <w:t>o</w:t>
      </w:r>
      <w:r w:rsidR="00C9769F" w:rsidRPr="00D50E91">
        <w:t xml:space="preserve">C alatti zárttéri lobbanásponttal rendelkező folyadék, </w:t>
      </w:r>
    </w:p>
    <w:p w:rsidR="00C9769F" w:rsidRPr="00D50E91" w:rsidRDefault="0026168C" w:rsidP="00C9769F">
      <w:pPr>
        <w:autoSpaceDE w:val="0"/>
        <w:autoSpaceDN w:val="0"/>
        <w:adjustRightInd w:val="0"/>
        <w:jc w:val="both"/>
      </w:pPr>
      <w:r>
        <w:t>bb)</w:t>
      </w:r>
      <w:r w:rsidR="00C9769F" w:rsidRPr="00D50E91">
        <w:t xml:space="preserve"> a legalább 21 </w:t>
      </w:r>
      <w:r w:rsidR="00C9769F" w:rsidRPr="00D50E91">
        <w:rPr>
          <w:vertAlign w:val="superscript"/>
        </w:rPr>
        <w:t>o</w:t>
      </w:r>
      <w:r w:rsidR="00C9769F" w:rsidRPr="00D50E91">
        <w:t xml:space="preserve">C zárttéri és legfeljebb 55 </w:t>
      </w:r>
      <w:r w:rsidR="00C9769F" w:rsidRPr="00D50E91">
        <w:rPr>
          <w:vertAlign w:val="superscript"/>
        </w:rPr>
        <w:t>o</w:t>
      </w:r>
      <w:r w:rsidR="00C9769F" w:rsidRPr="00D50E91">
        <w:t>C nyílttéri lobbanásponttal rendelkező folyadék, az olyan vizes diszperziós rendszer kivételével, amelynek lobbanáspontja szabványos módszerrel nem állapítható meg, és éghetőanyag</w:t>
      </w:r>
      <w:r w:rsidR="003528A8">
        <w:t>-</w:t>
      </w:r>
      <w:r w:rsidR="00C9769F" w:rsidRPr="00D50E91">
        <w:t>tartalma 25%</w:t>
      </w:r>
      <w:r w:rsidR="003528A8">
        <w:t>-</w:t>
      </w:r>
      <w:r w:rsidR="00C9769F" w:rsidRPr="00D50E91">
        <w:t>nál nagyobb, víztartalma pedig 50%</w:t>
      </w:r>
      <w:r w:rsidR="003528A8">
        <w:t>-</w:t>
      </w:r>
      <w:r w:rsidR="00C9769F" w:rsidRPr="00D50E91">
        <w:t>nál kisebb,</w:t>
      </w:r>
    </w:p>
    <w:p w:rsidR="00C9769F" w:rsidRPr="00D50E91" w:rsidRDefault="0026168C" w:rsidP="00C9769F">
      <w:pPr>
        <w:autoSpaceDE w:val="0"/>
        <w:autoSpaceDN w:val="0"/>
        <w:adjustRightInd w:val="0"/>
        <w:jc w:val="both"/>
      </w:pPr>
      <w:r>
        <w:t>bc)</w:t>
      </w:r>
      <w:r w:rsidR="00C9769F" w:rsidRPr="00D50E91">
        <w:t xml:space="preserve"> az a folyadék, amelynek üzemi hőmérséklete meghaladja a 35 </w:t>
      </w:r>
      <w:r w:rsidR="00C9769F" w:rsidRPr="00D50E91">
        <w:rPr>
          <w:vertAlign w:val="superscript"/>
        </w:rPr>
        <w:t>o</w:t>
      </w:r>
      <w:r w:rsidR="00C9769F" w:rsidRPr="00D50E91">
        <w:t>C</w:t>
      </w:r>
      <w:r w:rsidR="003528A8">
        <w:t>-</w:t>
      </w:r>
      <w:r w:rsidR="00C9769F" w:rsidRPr="00D50E91">
        <w:t xml:space="preserve">ot és nagyobb, mint a nyílttéri lobbanáspont 20 </w:t>
      </w:r>
      <w:r w:rsidR="00C9769F" w:rsidRPr="00D50E91">
        <w:rPr>
          <w:vertAlign w:val="superscript"/>
        </w:rPr>
        <w:t>o</w:t>
      </w:r>
      <w:r w:rsidR="00C9769F" w:rsidRPr="00D50E91">
        <w:t>C</w:t>
      </w:r>
      <w:r w:rsidR="003528A8">
        <w:t>-</w:t>
      </w:r>
      <w:r w:rsidR="00C9769F" w:rsidRPr="00D50E91">
        <w:t xml:space="preserve">kal csökkentett értéke, </w:t>
      </w:r>
    </w:p>
    <w:p w:rsidR="00C9769F" w:rsidRPr="00D50E91" w:rsidRDefault="00C9769F" w:rsidP="00C9769F">
      <w:pPr>
        <w:autoSpaceDE w:val="0"/>
        <w:autoSpaceDN w:val="0"/>
        <w:adjustRightInd w:val="0"/>
        <w:jc w:val="both"/>
      </w:pPr>
      <w:r w:rsidRPr="00D50E91">
        <w:t xml:space="preserve">a legalább 50 </w:t>
      </w:r>
      <w:r w:rsidRPr="00D50E91">
        <w:rPr>
          <w:vertAlign w:val="superscript"/>
        </w:rPr>
        <w:t>o</w:t>
      </w:r>
      <w:r w:rsidRPr="00D50E91">
        <w:t>C nyílttéri lobbanásponttal rendelkező gázolaj, tüzelőolaj és világításra használt petróleum kivételével,</w:t>
      </w:r>
    </w:p>
    <w:p w:rsidR="00C9769F" w:rsidRPr="00D50E91" w:rsidRDefault="0026168C" w:rsidP="00C9769F">
      <w:pPr>
        <w:autoSpaceDE w:val="0"/>
        <w:autoSpaceDN w:val="0"/>
        <w:adjustRightInd w:val="0"/>
        <w:jc w:val="both"/>
      </w:pPr>
      <w:r>
        <w:t>c</w:t>
      </w:r>
      <w:r w:rsidR="00C9769F" w:rsidRPr="00D50E91">
        <w:t xml:space="preserve">) az a) </w:t>
      </w:r>
      <w:r>
        <w:t xml:space="preserve">és b) </w:t>
      </w:r>
      <w:r w:rsidR="00C9769F" w:rsidRPr="00D50E91">
        <w:t>pontba</w:t>
      </w:r>
      <w:r>
        <w:t>,</w:t>
      </w:r>
      <w:r w:rsidR="00C9769F" w:rsidRPr="00D50E91">
        <w:t xml:space="preserve"> </w:t>
      </w:r>
      <w:r>
        <w:t>valamint</w:t>
      </w:r>
      <w:r w:rsidR="00C9769F" w:rsidRPr="00D50E91">
        <w:t xml:space="preserve"> a (2) bekezdés a)</w:t>
      </w:r>
      <w:r w:rsidR="00B928A0">
        <w:t xml:space="preserve"> és b)</w:t>
      </w:r>
      <w:r w:rsidR="00C9769F" w:rsidRPr="00D50E91">
        <w:t xml:space="preserve"> pontjába nem tartozó anyagok és keverékek közül</w:t>
      </w:r>
    </w:p>
    <w:p w:rsidR="00C9769F" w:rsidRPr="00D50E91" w:rsidRDefault="0026168C" w:rsidP="00C9769F">
      <w:pPr>
        <w:autoSpaceDE w:val="0"/>
        <w:autoSpaceDN w:val="0"/>
        <w:adjustRightInd w:val="0"/>
        <w:jc w:val="both"/>
      </w:pPr>
      <w:r>
        <w:t>c</w:t>
      </w:r>
      <w:r w:rsidR="00C9769F" w:rsidRPr="00D50E91">
        <w:t xml:space="preserve">a) az éghető gáz, </w:t>
      </w:r>
    </w:p>
    <w:p w:rsidR="00C9769F" w:rsidRPr="00D50E91" w:rsidRDefault="0026168C" w:rsidP="00C9769F">
      <w:pPr>
        <w:autoSpaceDE w:val="0"/>
        <w:autoSpaceDN w:val="0"/>
        <w:adjustRightInd w:val="0"/>
        <w:jc w:val="both"/>
      </w:pPr>
      <w:r>
        <w:t>c</w:t>
      </w:r>
      <w:r w:rsidR="00C9769F" w:rsidRPr="00D50E91">
        <w:t>b) az éghető gőz, köd,</w:t>
      </w:r>
    </w:p>
    <w:p w:rsidR="00C9769F" w:rsidRPr="00D50E91" w:rsidRDefault="0026168C" w:rsidP="00C9769F">
      <w:pPr>
        <w:autoSpaceDE w:val="0"/>
        <w:autoSpaceDN w:val="0"/>
        <w:adjustRightInd w:val="0"/>
        <w:jc w:val="both"/>
      </w:pPr>
      <w:r>
        <w:t>c</w:t>
      </w:r>
      <w:r w:rsidR="00C9769F" w:rsidRPr="00D50E91">
        <w:t>c) a por, valamint egyéb kisméretű szilárd anyag levegővel képzett robbanásveszélyes keveréke,</w:t>
      </w:r>
    </w:p>
    <w:p w:rsidR="00C9769F" w:rsidRPr="00D50E91" w:rsidRDefault="0026168C" w:rsidP="00C9769F">
      <w:pPr>
        <w:autoSpaceDE w:val="0"/>
        <w:autoSpaceDN w:val="0"/>
        <w:adjustRightInd w:val="0"/>
        <w:jc w:val="both"/>
      </w:pPr>
      <w:r>
        <w:t>c</w:t>
      </w:r>
      <w:r w:rsidR="00C9769F" w:rsidRPr="00D50E91">
        <w:t xml:space="preserve">d) a 21 </w:t>
      </w:r>
      <w:r w:rsidR="00C9769F" w:rsidRPr="00D50E91">
        <w:rPr>
          <w:vertAlign w:val="superscript"/>
        </w:rPr>
        <w:t>o</w:t>
      </w:r>
      <w:r w:rsidR="00C9769F" w:rsidRPr="00D50E91">
        <w:t xml:space="preserve">C alatti zárttéri lobbanásponttal rendelkező folyadék és olvadék, </w:t>
      </w:r>
    </w:p>
    <w:p w:rsidR="00C9769F" w:rsidRPr="00D50E91" w:rsidRDefault="0026168C" w:rsidP="00C9769F">
      <w:pPr>
        <w:autoSpaceDE w:val="0"/>
        <w:autoSpaceDN w:val="0"/>
        <w:adjustRightInd w:val="0"/>
        <w:jc w:val="both"/>
      </w:pPr>
      <w:r>
        <w:t>c</w:t>
      </w:r>
      <w:r w:rsidR="00C9769F" w:rsidRPr="00D50E91">
        <w:t xml:space="preserve">e) a legalább 21 </w:t>
      </w:r>
      <w:r w:rsidR="00C9769F" w:rsidRPr="00D50E91">
        <w:rPr>
          <w:vertAlign w:val="superscript"/>
        </w:rPr>
        <w:t>o</w:t>
      </w:r>
      <w:r w:rsidR="00C9769F" w:rsidRPr="00D50E91">
        <w:t xml:space="preserve">C zárttéri lobbanásponttal rendelkező folyadék és olvadék, ha nyílttéri lobbanáspontja legfeljebb 55 </w:t>
      </w:r>
      <w:r w:rsidR="00C9769F" w:rsidRPr="00D50E91">
        <w:rPr>
          <w:vertAlign w:val="superscript"/>
        </w:rPr>
        <w:t>o</w:t>
      </w:r>
      <w:r w:rsidR="00C9769F" w:rsidRPr="00D50E91">
        <w:t xml:space="preserve">C, valamint </w:t>
      </w:r>
    </w:p>
    <w:p w:rsidR="00C9769F" w:rsidRPr="00D50E91" w:rsidRDefault="0026168C" w:rsidP="00C9769F">
      <w:pPr>
        <w:autoSpaceDE w:val="0"/>
        <w:autoSpaceDN w:val="0"/>
        <w:adjustRightInd w:val="0"/>
        <w:jc w:val="both"/>
      </w:pPr>
      <w:r>
        <w:t>c</w:t>
      </w:r>
      <w:r w:rsidR="00C9769F" w:rsidRPr="00D50E91">
        <w:t xml:space="preserve">f) az a folyadék és olvadék, amelynek az üzemi hőmérséklete meghaladja a 35 </w:t>
      </w:r>
      <w:r w:rsidR="00711493" w:rsidRPr="00225DD7">
        <w:rPr>
          <w:vertAlign w:val="superscript"/>
        </w:rPr>
        <w:t>o</w:t>
      </w:r>
      <w:r w:rsidR="00C9769F" w:rsidRPr="00D50E91">
        <w:t>C</w:t>
      </w:r>
      <w:r w:rsidR="003528A8">
        <w:t>-</w:t>
      </w:r>
      <w:r w:rsidR="00C9769F" w:rsidRPr="00D50E91">
        <w:t xml:space="preserve">ot és nagyobb, mint a nyílttéri lobbanáspontjának 20 </w:t>
      </w:r>
      <w:r w:rsidR="00C9769F" w:rsidRPr="00D50E91">
        <w:rPr>
          <w:vertAlign w:val="superscript"/>
        </w:rPr>
        <w:t>o</w:t>
      </w:r>
      <w:r w:rsidR="00C9769F" w:rsidRPr="00D50E91">
        <w:t>C</w:t>
      </w:r>
      <w:r w:rsidR="003528A8">
        <w:t>-</w:t>
      </w:r>
      <w:r w:rsidR="00C9769F" w:rsidRPr="00D50E91">
        <w:t>kal csökkentett értéke.</w:t>
      </w:r>
    </w:p>
    <w:p w:rsidR="00C9769F" w:rsidRPr="00D50E91" w:rsidRDefault="00C9769F" w:rsidP="00C9769F">
      <w:pPr>
        <w:autoSpaceDE w:val="0"/>
        <w:autoSpaceDN w:val="0"/>
        <w:adjustRightInd w:val="0"/>
        <w:jc w:val="both"/>
      </w:pPr>
    </w:p>
    <w:p w:rsidR="00C9769F" w:rsidRPr="00D50E91" w:rsidRDefault="00C9769F" w:rsidP="00C9769F">
      <w:pPr>
        <w:autoSpaceDE w:val="0"/>
        <w:autoSpaceDN w:val="0"/>
        <w:adjustRightInd w:val="0"/>
        <w:jc w:val="both"/>
      </w:pPr>
      <w:r w:rsidRPr="00D50E91">
        <w:t>(2) Mérsékelten tűzveszélyes osztályba tartoznak</w:t>
      </w:r>
    </w:p>
    <w:p w:rsidR="00C9769F" w:rsidRPr="00D50E91" w:rsidRDefault="00C9769F" w:rsidP="00C9769F">
      <w:pPr>
        <w:autoSpaceDE w:val="0"/>
        <w:autoSpaceDN w:val="0"/>
        <w:adjustRightInd w:val="0"/>
        <w:jc w:val="both"/>
      </w:pPr>
      <w:r w:rsidRPr="00D50E91">
        <w:t>a) a CLP rendelet szerinti veszélyességi osztályok egyikébe sorolt anyagok és keverékek közül</w:t>
      </w:r>
    </w:p>
    <w:p w:rsidR="00C9769F" w:rsidRPr="00D50E91" w:rsidRDefault="00C9769F" w:rsidP="00C9769F">
      <w:pPr>
        <w:autoSpaceDE w:val="0"/>
        <w:autoSpaceDN w:val="0"/>
        <w:adjustRightInd w:val="0"/>
        <w:jc w:val="both"/>
      </w:pPr>
      <w:r w:rsidRPr="00D50E91">
        <w:lastRenderedPageBreak/>
        <w:t xml:space="preserve">aa) az 1.6. alosztályba tartozó robbanóanyag, </w:t>
      </w:r>
    </w:p>
    <w:p w:rsidR="00C9769F" w:rsidRPr="00D50E91" w:rsidRDefault="00C9769F" w:rsidP="00C9769F">
      <w:pPr>
        <w:autoSpaceDE w:val="0"/>
        <w:autoSpaceDN w:val="0"/>
        <w:adjustRightInd w:val="0"/>
        <w:jc w:val="both"/>
      </w:pPr>
      <w:r w:rsidRPr="00D50E91">
        <w:t xml:space="preserve">ab) az 1. kategóriába tartozó oxidáló gáz, </w:t>
      </w:r>
    </w:p>
    <w:p w:rsidR="00C9769F" w:rsidRPr="00D50E91" w:rsidRDefault="00C9769F" w:rsidP="00C9769F">
      <w:pPr>
        <w:autoSpaceDE w:val="0"/>
        <w:autoSpaceDN w:val="0"/>
        <w:adjustRightInd w:val="0"/>
        <w:jc w:val="both"/>
      </w:pPr>
      <w:r w:rsidRPr="00D50E91">
        <w:t>ac) az E, F és G típusúak önreaktív anyagok és keverékek,</w:t>
      </w:r>
    </w:p>
    <w:p w:rsidR="00C9769F" w:rsidRPr="00D50E91" w:rsidRDefault="00C9769F" w:rsidP="00C9769F">
      <w:pPr>
        <w:autoSpaceDE w:val="0"/>
        <w:autoSpaceDN w:val="0"/>
        <w:adjustRightInd w:val="0"/>
        <w:jc w:val="both"/>
      </w:pPr>
      <w:r w:rsidRPr="00D50E91">
        <w:t>ad) az 1. és 2. kategóriába tartozó önmelegedő anyagok és keverékek,</w:t>
      </w:r>
    </w:p>
    <w:p w:rsidR="00C9769F" w:rsidRPr="00D50E91" w:rsidRDefault="00C9769F" w:rsidP="00C9769F">
      <w:pPr>
        <w:autoSpaceDE w:val="0"/>
        <w:autoSpaceDN w:val="0"/>
        <w:adjustRightInd w:val="0"/>
        <w:jc w:val="both"/>
      </w:pPr>
      <w:r w:rsidRPr="00D50E91">
        <w:t xml:space="preserve">ae) a 3. kategóriába tartozó, vízzel érintkezve tűzveszélyes gázokat kibocsátó anyagok és keverékek, </w:t>
      </w:r>
    </w:p>
    <w:p w:rsidR="00C9769F" w:rsidRPr="00D50E91" w:rsidRDefault="00C9769F" w:rsidP="00C9769F">
      <w:pPr>
        <w:autoSpaceDE w:val="0"/>
        <w:autoSpaceDN w:val="0"/>
        <w:adjustRightInd w:val="0"/>
        <w:jc w:val="both"/>
      </w:pPr>
      <w:r w:rsidRPr="00D50E91">
        <w:t xml:space="preserve">af)  a  2. és 3. kategóriába tartozó oxidáló folyadék, </w:t>
      </w:r>
    </w:p>
    <w:p w:rsidR="00C9769F" w:rsidRPr="00D50E91" w:rsidRDefault="00C9769F" w:rsidP="00C9769F">
      <w:pPr>
        <w:autoSpaceDE w:val="0"/>
        <w:autoSpaceDN w:val="0"/>
        <w:adjustRightInd w:val="0"/>
        <w:jc w:val="both"/>
      </w:pPr>
      <w:r w:rsidRPr="00D50E91">
        <w:t>ag) a 2. és 3. kategóriába tartozó oxidáló szilárd anyag,</w:t>
      </w:r>
    </w:p>
    <w:p w:rsidR="00C9769F" w:rsidRPr="00D50E91" w:rsidRDefault="00C9769F" w:rsidP="00C9769F">
      <w:pPr>
        <w:autoSpaceDE w:val="0"/>
        <w:autoSpaceDN w:val="0"/>
        <w:adjustRightInd w:val="0"/>
        <w:jc w:val="both"/>
      </w:pPr>
      <w:r w:rsidRPr="00D50E91">
        <w:t>ah) az E, F és G típusú szerves peroxid,</w:t>
      </w:r>
    </w:p>
    <w:p w:rsidR="00C9769F" w:rsidRPr="00D50E91" w:rsidRDefault="0026168C" w:rsidP="00C9769F">
      <w:pPr>
        <w:autoSpaceDE w:val="0"/>
        <w:autoSpaceDN w:val="0"/>
        <w:adjustRightInd w:val="0"/>
        <w:jc w:val="both"/>
      </w:pPr>
      <w:r>
        <w:t>b</w:t>
      </w:r>
      <w:r w:rsidR="00C9769F" w:rsidRPr="00D50E91">
        <w:t xml:space="preserve">) </w:t>
      </w:r>
      <w:r w:rsidRPr="00D50E91">
        <w:t xml:space="preserve">a CLP rendelet szerinti veszélyességi osztályok egyikébe sorolt anyagok és keverékek közül </w:t>
      </w:r>
      <w:r w:rsidR="00C9769F" w:rsidRPr="00D50E91">
        <w:t xml:space="preserve">az 1., 2. vagy 3. kategóriába tartozó tűzveszélyes folyadékok közül </w:t>
      </w:r>
    </w:p>
    <w:p w:rsidR="00C9769F" w:rsidRPr="00D50E91" w:rsidRDefault="0026168C" w:rsidP="00C9769F">
      <w:pPr>
        <w:autoSpaceDE w:val="0"/>
        <w:autoSpaceDN w:val="0"/>
        <w:adjustRightInd w:val="0"/>
        <w:jc w:val="both"/>
      </w:pPr>
      <w:r>
        <w:t>ba)</w:t>
      </w:r>
      <w:r w:rsidR="00C9769F" w:rsidRPr="00D50E91">
        <w:t xml:space="preserve"> az 55 </w:t>
      </w:r>
      <w:r w:rsidR="00C9769F" w:rsidRPr="00D50E91">
        <w:rPr>
          <w:vertAlign w:val="superscript"/>
        </w:rPr>
        <w:t>o</w:t>
      </w:r>
      <w:r w:rsidR="00C9769F" w:rsidRPr="00D50E91">
        <w:t>C</w:t>
      </w:r>
      <w:r w:rsidR="003528A8">
        <w:t>-</w:t>
      </w:r>
      <w:r w:rsidR="00C9769F" w:rsidRPr="00D50E91">
        <w:t xml:space="preserve">nál nagyobb nyílttéri lobbanásponttal rendelkező folyadék, </w:t>
      </w:r>
    </w:p>
    <w:p w:rsidR="00C9769F" w:rsidRPr="00D50E91" w:rsidRDefault="0026168C" w:rsidP="00C9769F">
      <w:pPr>
        <w:autoSpaceDE w:val="0"/>
        <w:autoSpaceDN w:val="0"/>
        <w:adjustRightInd w:val="0"/>
        <w:jc w:val="both"/>
      </w:pPr>
      <w:r>
        <w:t>bb)</w:t>
      </w:r>
      <w:r w:rsidR="00C9769F" w:rsidRPr="00D50E91">
        <w:t xml:space="preserve"> az a folyadék, amelynek az üzemi hőmérséklete meghaladja a 35 </w:t>
      </w:r>
      <w:r w:rsidR="00C9769F" w:rsidRPr="00D50E91">
        <w:rPr>
          <w:vertAlign w:val="superscript"/>
        </w:rPr>
        <w:t>o</w:t>
      </w:r>
      <w:r w:rsidR="00C9769F" w:rsidRPr="00D50E91">
        <w:t>C</w:t>
      </w:r>
      <w:r w:rsidR="003528A8">
        <w:t>-</w:t>
      </w:r>
      <w:r w:rsidR="00C9769F" w:rsidRPr="00D50E91">
        <w:t xml:space="preserve">ot és a nyílttéri lobbanáspontjánál legalább 20 </w:t>
      </w:r>
      <w:r w:rsidR="00C9769F" w:rsidRPr="00D50E91">
        <w:rPr>
          <w:vertAlign w:val="superscript"/>
        </w:rPr>
        <w:t>o</w:t>
      </w:r>
      <w:r w:rsidR="00C9769F" w:rsidRPr="00D50E91">
        <w:t>C</w:t>
      </w:r>
      <w:r w:rsidR="003528A8">
        <w:t>-</w:t>
      </w:r>
      <w:r w:rsidR="00C9769F" w:rsidRPr="00D50E91">
        <w:t xml:space="preserve">kal kisebb, </w:t>
      </w:r>
    </w:p>
    <w:p w:rsidR="00C9769F" w:rsidRPr="00D50E91" w:rsidRDefault="0026168C" w:rsidP="00C9769F">
      <w:pPr>
        <w:autoSpaceDE w:val="0"/>
        <w:autoSpaceDN w:val="0"/>
        <w:adjustRightInd w:val="0"/>
        <w:jc w:val="both"/>
      </w:pPr>
      <w:r>
        <w:t>bc)</w:t>
      </w:r>
      <w:r w:rsidR="00C9769F" w:rsidRPr="00D50E91">
        <w:t xml:space="preserve"> az olyan vizes diszperziós rendszer, amelynek lobbanáspontja szabványos módszerrel nem állapítható meg, és éghetőanyag</w:t>
      </w:r>
      <w:r w:rsidR="003528A8">
        <w:t>-</w:t>
      </w:r>
      <w:r w:rsidR="00C9769F" w:rsidRPr="00D50E91">
        <w:t>tartalma 25%</w:t>
      </w:r>
      <w:r w:rsidR="003528A8">
        <w:t>-</w:t>
      </w:r>
      <w:r w:rsidR="00C9769F" w:rsidRPr="00D50E91">
        <w:t>nál nagyobb, víztartalma pedig 50%</w:t>
      </w:r>
      <w:r w:rsidR="003528A8">
        <w:t>-</w:t>
      </w:r>
      <w:r w:rsidR="00C9769F" w:rsidRPr="00D50E91">
        <w:t>nál kisebb, valamint</w:t>
      </w:r>
    </w:p>
    <w:p w:rsidR="00C9769F" w:rsidRPr="00D50E91" w:rsidRDefault="0026168C" w:rsidP="00C9769F">
      <w:pPr>
        <w:autoSpaceDE w:val="0"/>
        <w:autoSpaceDN w:val="0"/>
        <w:adjustRightInd w:val="0"/>
        <w:jc w:val="both"/>
      </w:pPr>
      <w:r>
        <w:t>bd)</w:t>
      </w:r>
      <w:r w:rsidR="00C9769F" w:rsidRPr="00D50E91">
        <w:t xml:space="preserve"> a legalább 50 </w:t>
      </w:r>
      <w:r w:rsidR="00C9769F" w:rsidRPr="00D50E91">
        <w:rPr>
          <w:vertAlign w:val="superscript"/>
        </w:rPr>
        <w:t>o</w:t>
      </w:r>
      <w:r w:rsidR="00C9769F" w:rsidRPr="00D50E91">
        <w:t>C nyílttéri lobbanásponttal rendelkező gázolaj, tüzelőolaj és világításra használt petróleum,</w:t>
      </w:r>
    </w:p>
    <w:p w:rsidR="00C9769F" w:rsidRPr="00D50E91" w:rsidRDefault="001501E5" w:rsidP="00C9769F">
      <w:pPr>
        <w:autoSpaceDE w:val="0"/>
        <w:autoSpaceDN w:val="0"/>
        <w:adjustRightInd w:val="0"/>
        <w:jc w:val="both"/>
      </w:pPr>
      <w:r>
        <w:t>c</w:t>
      </w:r>
      <w:r w:rsidR="00C9769F" w:rsidRPr="00D50E91">
        <w:t>) az (1) bekezdés a)</w:t>
      </w:r>
      <w:r w:rsidR="00B928A0">
        <w:t xml:space="preserve"> és b)</w:t>
      </w:r>
      <w:r w:rsidR="00C9769F" w:rsidRPr="00D50E91">
        <w:t xml:space="preserve"> pontjába</w:t>
      </w:r>
      <w:r w:rsidR="00B928A0">
        <w:t>, valamint</w:t>
      </w:r>
      <w:r w:rsidR="00C9769F" w:rsidRPr="00D50E91">
        <w:t xml:space="preserve">  a (2) bekezdés a) </w:t>
      </w:r>
      <w:r w:rsidR="00B928A0">
        <w:t xml:space="preserve">és b) </w:t>
      </w:r>
      <w:r w:rsidR="00C9769F" w:rsidRPr="00D50E91">
        <w:t>pontjába nem tartozó anyagok és keverékek közül</w:t>
      </w:r>
    </w:p>
    <w:p w:rsidR="00C9769F" w:rsidRPr="00D50E91" w:rsidRDefault="001501E5" w:rsidP="00C9769F">
      <w:pPr>
        <w:autoSpaceDE w:val="0"/>
        <w:autoSpaceDN w:val="0"/>
        <w:adjustRightInd w:val="0"/>
        <w:jc w:val="both"/>
      </w:pPr>
      <w:r>
        <w:t>c</w:t>
      </w:r>
      <w:r w:rsidR="00C9769F" w:rsidRPr="00D50E91">
        <w:t>a) a szilárd éghető anyag, amely nem tartozik fokozottan tűz</w:t>
      </w:r>
      <w:r w:rsidR="003528A8">
        <w:t>-</w:t>
      </w:r>
      <w:r w:rsidR="00C9769F" w:rsidRPr="00D50E91">
        <w:t xml:space="preserve"> vagy robbanásveszélyes osztályba,</w:t>
      </w:r>
    </w:p>
    <w:p w:rsidR="00C9769F" w:rsidRPr="00D50E91" w:rsidRDefault="001501E5" w:rsidP="00C9769F">
      <w:pPr>
        <w:autoSpaceDE w:val="0"/>
        <w:autoSpaceDN w:val="0"/>
        <w:adjustRightInd w:val="0"/>
        <w:jc w:val="both"/>
      </w:pPr>
      <w:r>
        <w:t>c</w:t>
      </w:r>
      <w:r w:rsidR="00C9769F" w:rsidRPr="00D50E91">
        <w:t>b) az a gáz, amely önmaga nem ég, de az égést táplálja, a levegő kivételével,</w:t>
      </w:r>
    </w:p>
    <w:p w:rsidR="00C9769F" w:rsidRPr="00D50E91" w:rsidRDefault="001501E5" w:rsidP="00C9769F">
      <w:pPr>
        <w:autoSpaceDE w:val="0"/>
        <w:autoSpaceDN w:val="0"/>
        <w:adjustRightInd w:val="0"/>
        <w:jc w:val="both"/>
      </w:pPr>
      <w:r>
        <w:t>c</w:t>
      </w:r>
      <w:r w:rsidR="00C9769F" w:rsidRPr="00D50E91">
        <w:t>c) a vonatkozó műszaki követelmény szerinti eljárással meghatározott, 150 °C</w:t>
      </w:r>
      <w:r w:rsidR="003528A8">
        <w:t>-</w:t>
      </w:r>
      <w:r w:rsidR="00C9769F" w:rsidRPr="00D50E91">
        <w:t>nál magasabb gyulladási hőmérsékletű, B</w:t>
      </w:r>
      <w:r w:rsidR="003528A8">
        <w:t>-</w:t>
      </w:r>
      <w:r w:rsidR="00C9769F" w:rsidRPr="00D50E91">
        <w:t>F tűzvédelmi osztályú építőanyag,</w:t>
      </w:r>
    </w:p>
    <w:p w:rsidR="00C9769F" w:rsidRPr="00D50E91" w:rsidRDefault="001501E5" w:rsidP="00C9769F">
      <w:pPr>
        <w:autoSpaceDE w:val="0"/>
        <w:autoSpaceDN w:val="0"/>
        <w:adjustRightInd w:val="0"/>
        <w:jc w:val="both"/>
      </w:pPr>
      <w:r>
        <w:t>c</w:t>
      </w:r>
      <w:r w:rsidR="00C9769F" w:rsidRPr="00D50E91">
        <w:t>d) az a vizes diszperziós rendszer, amelynek lobbanáspontja szabványos módszerrel nem állapítható meg, és éghetőanyag</w:t>
      </w:r>
      <w:r w:rsidR="003528A8">
        <w:t>-</w:t>
      </w:r>
      <w:r w:rsidR="00C9769F" w:rsidRPr="00D50E91">
        <w:t>tartalma 25%</w:t>
      </w:r>
      <w:r w:rsidR="003528A8">
        <w:t>-</w:t>
      </w:r>
      <w:r w:rsidR="00C9769F" w:rsidRPr="00D50E91">
        <w:t>nál nagyobb, víztartalma pedig 50%</w:t>
      </w:r>
      <w:r w:rsidR="003528A8">
        <w:t>-</w:t>
      </w:r>
      <w:r w:rsidR="00C9769F" w:rsidRPr="00D50E91">
        <w:t>nál kisebb.</w:t>
      </w:r>
    </w:p>
    <w:p w:rsidR="00C9769F" w:rsidRPr="00D50E91" w:rsidRDefault="001501E5" w:rsidP="00C9769F">
      <w:pPr>
        <w:autoSpaceDE w:val="0"/>
        <w:autoSpaceDN w:val="0"/>
        <w:adjustRightInd w:val="0"/>
        <w:jc w:val="both"/>
      </w:pPr>
      <w:r>
        <w:t>c</w:t>
      </w:r>
      <w:r w:rsidR="00C9769F" w:rsidRPr="00D50E91">
        <w:t xml:space="preserve">e) az 55 </w:t>
      </w:r>
      <w:r w:rsidR="00C9769F" w:rsidRPr="00D50E91">
        <w:rPr>
          <w:vertAlign w:val="superscript"/>
        </w:rPr>
        <w:t>o</w:t>
      </w:r>
      <w:r w:rsidR="00C9769F" w:rsidRPr="00D50E91">
        <w:t>C feletti nyílttéri lobbanásponttal rendelkező folyadék és olvadék,</w:t>
      </w:r>
    </w:p>
    <w:p w:rsidR="00C9769F" w:rsidRPr="00D50E91" w:rsidRDefault="001501E5" w:rsidP="00C9769F">
      <w:pPr>
        <w:autoSpaceDE w:val="0"/>
        <w:autoSpaceDN w:val="0"/>
        <w:adjustRightInd w:val="0"/>
        <w:jc w:val="both"/>
      </w:pPr>
      <w:r>
        <w:t>c</w:t>
      </w:r>
      <w:r w:rsidR="00C9769F" w:rsidRPr="00D50E91">
        <w:t xml:space="preserve">f) az a folyadék és olvadék, amelynek üzemi hőmérséklete meghaladja a 35 </w:t>
      </w:r>
      <w:r w:rsidR="00C9769F" w:rsidRPr="00D50E91">
        <w:rPr>
          <w:vertAlign w:val="superscript"/>
        </w:rPr>
        <w:t>o</w:t>
      </w:r>
      <w:r w:rsidR="00C9769F" w:rsidRPr="00D50E91">
        <w:t>C</w:t>
      </w:r>
      <w:r w:rsidR="003528A8">
        <w:t>-</w:t>
      </w:r>
      <w:r w:rsidR="00C9769F" w:rsidRPr="00D50E91">
        <w:t xml:space="preserve">ot és a nyíltéri lobbanáspontjánál legalább 20 </w:t>
      </w:r>
      <w:r w:rsidR="00C9769F" w:rsidRPr="00D50E91">
        <w:rPr>
          <w:vertAlign w:val="superscript"/>
        </w:rPr>
        <w:t>o</w:t>
      </w:r>
      <w:r w:rsidR="00C9769F" w:rsidRPr="00D50E91">
        <w:t>C</w:t>
      </w:r>
      <w:r w:rsidR="003528A8">
        <w:t>-</w:t>
      </w:r>
      <w:r w:rsidR="00C9769F" w:rsidRPr="00D50E91">
        <w:t>kal kisebb.</w:t>
      </w:r>
    </w:p>
    <w:p w:rsidR="00C9769F" w:rsidRPr="00D50E91" w:rsidRDefault="00C9769F" w:rsidP="00C9769F">
      <w:pPr>
        <w:autoSpaceDE w:val="0"/>
        <w:autoSpaceDN w:val="0"/>
        <w:adjustRightInd w:val="0"/>
        <w:jc w:val="both"/>
      </w:pPr>
    </w:p>
    <w:p w:rsidR="00C9769F" w:rsidRPr="00D50E91" w:rsidRDefault="00C9769F" w:rsidP="00C9769F">
      <w:pPr>
        <w:autoSpaceDE w:val="0"/>
        <w:autoSpaceDN w:val="0"/>
        <w:adjustRightInd w:val="0"/>
        <w:jc w:val="both"/>
      </w:pPr>
      <w:r w:rsidRPr="00D50E91">
        <w:t>(3) Nem tűzveszélyes osztályba tartozik</w:t>
      </w:r>
    </w:p>
    <w:p w:rsidR="00C9769F" w:rsidRPr="00D50E91" w:rsidRDefault="00C9769F" w:rsidP="00C9769F">
      <w:pPr>
        <w:autoSpaceDE w:val="0"/>
        <w:autoSpaceDN w:val="0"/>
        <w:adjustRightInd w:val="0"/>
        <w:jc w:val="both"/>
      </w:pPr>
      <w:r w:rsidRPr="00D50E91">
        <w:t>a) a nem éghető anyag, ha nem tartozik a fokozottan tűz</w:t>
      </w:r>
      <w:r w:rsidR="003528A8">
        <w:t>-</w:t>
      </w:r>
      <w:r w:rsidRPr="00D50E91">
        <w:t xml:space="preserve"> vagy robbanásveszélyes, vagy a mérsékelten tűzveszélyes osztályba,</w:t>
      </w:r>
    </w:p>
    <w:p w:rsidR="00C9769F" w:rsidRPr="00D50E91" w:rsidRDefault="00C9769F" w:rsidP="00C9769F">
      <w:pPr>
        <w:autoSpaceDE w:val="0"/>
        <w:autoSpaceDN w:val="0"/>
        <w:adjustRightInd w:val="0"/>
        <w:jc w:val="both"/>
      </w:pPr>
      <w:r w:rsidRPr="00D50E91">
        <w:t>b) az A1 vagy A2 tűzvédelmi osztályú építőanyag és</w:t>
      </w:r>
    </w:p>
    <w:p w:rsidR="00C9769F" w:rsidRPr="00D50E91" w:rsidRDefault="00C9769F" w:rsidP="00C9769F">
      <w:pPr>
        <w:autoSpaceDE w:val="0"/>
        <w:autoSpaceDN w:val="0"/>
        <w:adjustRightInd w:val="0"/>
        <w:jc w:val="both"/>
      </w:pPr>
      <w:r w:rsidRPr="00D50E91">
        <w:t>c) a CLP rendelet szerinti 3. kategóriába tartozó aeroszol.”</w:t>
      </w:r>
    </w:p>
    <w:p w:rsidR="00C9769F" w:rsidRPr="00D50E91" w:rsidRDefault="00C9769F" w:rsidP="00C9769F">
      <w:pPr>
        <w:autoSpaceDE w:val="0"/>
        <w:autoSpaceDN w:val="0"/>
        <w:adjustRightInd w:val="0"/>
        <w:jc w:val="both"/>
      </w:pPr>
    </w:p>
    <w:p w:rsidR="00C9769F" w:rsidRPr="00D50E91" w:rsidRDefault="00C9769F" w:rsidP="00C9769F">
      <w:pPr>
        <w:keepNext/>
        <w:numPr>
          <w:ilvl w:val="0"/>
          <w:numId w:val="2"/>
        </w:numPr>
        <w:spacing w:line="276" w:lineRule="auto"/>
        <w:ind w:left="0" w:firstLine="0"/>
        <w:jc w:val="center"/>
        <w:outlineLvl w:val="1"/>
        <w:rPr>
          <w:b/>
          <w:bCs/>
        </w:rPr>
      </w:pPr>
      <w:r w:rsidRPr="00D50E91">
        <w:rPr>
          <w:b/>
          <w:bCs/>
        </w:rPr>
        <w:t>§</w:t>
      </w:r>
    </w:p>
    <w:p w:rsidR="00C9769F" w:rsidRPr="00D50E91" w:rsidRDefault="00C9769F" w:rsidP="00C9769F">
      <w:pPr>
        <w:autoSpaceDE w:val="0"/>
        <w:autoSpaceDN w:val="0"/>
        <w:adjustRightInd w:val="0"/>
        <w:jc w:val="both"/>
      </w:pPr>
    </w:p>
    <w:p w:rsidR="00C9769F" w:rsidRPr="00D50E91" w:rsidRDefault="00C9769F" w:rsidP="00C9769F">
      <w:pPr>
        <w:autoSpaceDE w:val="0"/>
        <w:autoSpaceDN w:val="0"/>
        <w:adjustRightInd w:val="0"/>
        <w:jc w:val="both"/>
      </w:pPr>
      <w:r w:rsidRPr="00D50E91">
        <w:t>(1) Az R. 10. § (2) bekezdés c) pontja helyébe a következő rendelkezés lép:</w:t>
      </w:r>
    </w:p>
    <w:p w:rsidR="00C9769F" w:rsidRPr="00D50E91" w:rsidRDefault="00C9769F" w:rsidP="00C9769F">
      <w:pPr>
        <w:autoSpaceDE w:val="0"/>
        <w:autoSpaceDN w:val="0"/>
        <w:adjustRightInd w:val="0"/>
        <w:jc w:val="both"/>
      </w:pPr>
    </w:p>
    <w:p w:rsidR="00C9769F" w:rsidRPr="00D50E91" w:rsidRDefault="00C9769F" w:rsidP="00C9769F">
      <w:pPr>
        <w:autoSpaceDE w:val="0"/>
        <w:autoSpaceDN w:val="0"/>
        <w:adjustRightInd w:val="0"/>
        <w:jc w:val="both"/>
        <w:rPr>
          <w:i/>
        </w:rPr>
      </w:pPr>
      <w:r w:rsidRPr="00D50E91">
        <w:rPr>
          <w:i/>
        </w:rPr>
        <w:t>[A kockázati egység lehet]</w:t>
      </w:r>
    </w:p>
    <w:p w:rsidR="00C9769F" w:rsidRPr="00D50E91" w:rsidRDefault="00C9769F" w:rsidP="00C9769F">
      <w:pPr>
        <w:autoSpaceDE w:val="0"/>
        <w:autoSpaceDN w:val="0"/>
        <w:adjustRightInd w:val="0"/>
        <w:jc w:val="both"/>
      </w:pPr>
      <w:r w:rsidRPr="00D50E91">
        <w:t>„c) épület, önálló épületrész, speciális építmény vagy”</w:t>
      </w:r>
    </w:p>
    <w:p w:rsidR="00C9769F" w:rsidRPr="00D50E91" w:rsidRDefault="00C9769F" w:rsidP="00C9769F">
      <w:pPr>
        <w:autoSpaceDE w:val="0"/>
        <w:autoSpaceDN w:val="0"/>
        <w:adjustRightInd w:val="0"/>
        <w:jc w:val="both"/>
      </w:pPr>
    </w:p>
    <w:p w:rsidR="00C9769F" w:rsidRPr="00D50E91" w:rsidRDefault="00C9769F" w:rsidP="00C9769F">
      <w:pPr>
        <w:autoSpaceDE w:val="0"/>
        <w:autoSpaceDN w:val="0"/>
        <w:adjustRightInd w:val="0"/>
        <w:jc w:val="both"/>
      </w:pPr>
      <w:r w:rsidRPr="00D50E91">
        <w:t>(2) Az R. 10. § (4) bekezdése helyébe a következő rendelkezés lép:</w:t>
      </w:r>
    </w:p>
    <w:p w:rsidR="00C9769F" w:rsidRPr="00D50E91" w:rsidRDefault="00C9769F" w:rsidP="00C9769F">
      <w:pPr>
        <w:autoSpaceDE w:val="0"/>
        <w:autoSpaceDN w:val="0"/>
        <w:adjustRightInd w:val="0"/>
        <w:jc w:val="both"/>
      </w:pPr>
    </w:p>
    <w:p w:rsidR="00C9769F" w:rsidRPr="00D50E91" w:rsidRDefault="00C9769F" w:rsidP="00C9769F">
      <w:pPr>
        <w:autoSpaceDE w:val="0"/>
        <w:autoSpaceDN w:val="0"/>
        <w:adjustRightInd w:val="0"/>
        <w:jc w:val="both"/>
      </w:pPr>
      <w:r w:rsidRPr="00D50E91">
        <w:t>„(4) A kockázati egység részét képezheti a (2) bekezdés a)</w:t>
      </w:r>
      <w:r w:rsidR="003528A8">
        <w:t>-</w:t>
      </w:r>
      <w:r w:rsidRPr="00D50E91">
        <w:t>c) pontjában foglaltakon kívül</w:t>
      </w:r>
    </w:p>
    <w:p w:rsidR="00C9769F" w:rsidRPr="00D50E91" w:rsidRDefault="00C9769F" w:rsidP="00C9769F">
      <w:pPr>
        <w:autoSpaceDE w:val="0"/>
        <w:autoSpaceDN w:val="0"/>
        <w:adjustRightInd w:val="0"/>
        <w:jc w:val="both"/>
      </w:pPr>
      <w:r w:rsidRPr="00D50E91">
        <w:t>a) a közlekedő helyiség,</w:t>
      </w:r>
    </w:p>
    <w:p w:rsidR="00C9769F" w:rsidRPr="00D50E91" w:rsidRDefault="00C9769F" w:rsidP="00C9769F">
      <w:pPr>
        <w:autoSpaceDE w:val="0"/>
        <w:autoSpaceDN w:val="0"/>
        <w:adjustRightInd w:val="0"/>
        <w:jc w:val="both"/>
      </w:pPr>
      <w:r w:rsidRPr="00D50E91">
        <w:t>b) a rendeltetéssel összefüggő tárolásra szolgáló tárolóhelyiség,</w:t>
      </w:r>
    </w:p>
    <w:p w:rsidR="00C9769F" w:rsidRPr="00D50E91" w:rsidRDefault="00C9769F" w:rsidP="00C9769F">
      <w:pPr>
        <w:autoSpaceDE w:val="0"/>
        <w:autoSpaceDN w:val="0"/>
        <w:adjustRightInd w:val="0"/>
        <w:jc w:val="both"/>
      </w:pPr>
      <w:r w:rsidRPr="00D50E91">
        <w:t>c) a rendeltetéssel összefüggő gépjárműtároló helyiség,</w:t>
      </w:r>
    </w:p>
    <w:p w:rsidR="00C9769F" w:rsidRPr="00D50E91" w:rsidRDefault="00C9769F" w:rsidP="00C9769F">
      <w:pPr>
        <w:autoSpaceDE w:val="0"/>
        <w:autoSpaceDN w:val="0"/>
        <w:adjustRightInd w:val="0"/>
        <w:jc w:val="both"/>
      </w:pPr>
      <w:r w:rsidRPr="00D50E91">
        <w:t>d) a villamos, valamint gépészeti helyiség,</w:t>
      </w:r>
    </w:p>
    <w:p w:rsidR="00C9769F" w:rsidRPr="00D50E91" w:rsidRDefault="00C9769F" w:rsidP="00C9769F">
      <w:pPr>
        <w:autoSpaceDE w:val="0"/>
        <w:autoSpaceDN w:val="0"/>
        <w:adjustRightInd w:val="0"/>
        <w:jc w:val="both"/>
      </w:pPr>
      <w:r w:rsidRPr="00D50E91">
        <w:lastRenderedPageBreak/>
        <w:t>e) a rendeltetéssel összefüggő szociális helyiség és az üzemviteli, adminisztratív tevékenységek ellátását biztosító helyiség,</w:t>
      </w:r>
    </w:p>
    <w:p w:rsidR="00C9769F" w:rsidRPr="00D50E91" w:rsidRDefault="00C9769F" w:rsidP="00C9769F">
      <w:pPr>
        <w:autoSpaceDE w:val="0"/>
        <w:autoSpaceDN w:val="0"/>
        <w:adjustRightInd w:val="0"/>
        <w:jc w:val="both"/>
      </w:pPr>
      <w:r w:rsidRPr="00D50E91">
        <w:t>f) a rendeltetéssel összefüggő szolgálati, gondnoki lakás.”</w:t>
      </w:r>
    </w:p>
    <w:p w:rsidR="00C9769F" w:rsidRPr="00D50E91" w:rsidRDefault="00C9769F" w:rsidP="00C9769F">
      <w:pPr>
        <w:autoSpaceDE w:val="0"/>
        <w:autoSpaceDN w:val="0"/>
        <w:adjustRightInd w:val="0"/>
        <w:jc w:val="both"/>
      </w:pPr>
    </w:p>
    <w:p w:rsidR="00C9769F" w:rsidRPr="00D50E91" w:rsidRDefault="00C9769F" w:rsidP="00C9769F">
      <w:pPr>
        <w:keepNext/>
        <w:numPr>
          <w:ilvl w:val="0"/>
          <w:numId w:val="2"/>
        </w:numPr>
        <w:spacing w:line="276" w:lineRule="auto"/>
        <w:ind w:left="0" w:firstLine="0"/>
        <w:jc w:val="center"/>
        <w:outlineLvl w:val="1"/>
        <w:rPr>
          <w:b/>
          <w:bCs/>
        </w:rPr>
      </w:pPr>
      <w:r w:rsidRPr="00D50E91">
        <w:rPr>
          <w:b/>
          <w:bCs/>
        </w:rPr>
        <w:t>§</w:t>
      </w:r>
    </w:p>
    <w:p w:rsidR="00C9769F" w:rsidRPr="00D50E91" w:rsidRDefault="00C9769F" w:rsidP="00C9769F">
      <w:pPr>
        <w:autoSpaceDE w:val="0"/>
        <w:autoSpaceDN w:val="0"/>
        <w:adjustRightInd w:val="0"/>
        <w:jc w:val="both"/>
      </w:pPr>
    </w:p>
    <w:p w:rsidR="00C9769F" w:rsidRPr="00D50E91" w:rsidRDefault="00C9769F" w:rsidP="00C9769F">
      <w:pPr>
        <w:autoSpaceDE w:val="0"/>
        <w:autoSpaceDN w:val="0"/>
        <w:adjustRightInd w:val="0"/>
        <w:jc w:val="both"/>
      </w:pPr>
      <w:r w:rsidRPr="00D50E91">
        <w:t>Az R. 11. §</w:t>
      </w:r>
      <w:r w:rsidR="003528A8">
        <w:t>-</w:t>
      </w:r>
      <w:r w:rsidRPr="00D50E91">
        <w:t>a helyébe a következő rendelkezés lép:</w:t>
      </w:r>
    </w:p>
    <w:p w:rsidR="00C9769F" w:rsidRPr="00D50E91" w:rsidRDefault="00C9769F" w:rsidP="00C9769F">
      <w:pPr>
        <w:autoSpaceDE w:val="0"/>
        <w:autoSpaceDN w:val="0"/>
        <w:adjustRightInd w:val="0"/>
        <w:jc w:val="both"/>
      </w:pPr>
    </w:p>
    <w:p w:rsidR="00C9769F" w:rsidRPr="00D50E91" w:rsidRDefault="00C9769F" w:rsidP="00C9769F">
      <w:pPr>
        <w:autoSpaceDE w:val="0"/>
        <w:autoSpaceDN w:val="0"/>
        <w:adjustRightInd w:val="0"/>
        <w:jc w:val="both"/>
      </w:pPr>
      <w:r w:rsidRPr="00D50E91">
        <w:t>„11. § (1) A kockázati egység kiterjedésének 10. § (2) bekezdés a)</w:t>
      </w:r>
      <w:r w:rsidR="003528A8">
        <w:t>-</w:t>
      </w:r>
      <w:r w:rsidRPr="00D50E91">
        <w:t>c) pontjai szerinti meghatározása esetén azonos kockázati egységbe helyezhetőek</w:t>
      </w:r>
    </w:p>
    <w:p w:rsidR="00C9769F" w:rsidRPr="00D50E91" w:rsidRDefault="00C9769F" w:rsidP="00C9769F">
      <w:pPr>
        <w:autoSpaceDE w:val="0"/>
        <w:autoSpaceDN w:val="0"/>
        <w:adjustRightInd w:val="0"/>
        <w:jc w:val="both"/>
      </w:pPr>
      <w:r w:rsidRPr="00D50E91">
        <w:t>a) a lakások egymással,</w:t>
      </w:r>
    </w:p>
    <w:p w:rsidR="00C9769F" w:rsidRPr="00D50E91" w:rsidRDefault="00C9769F" w:rsidP="00C9769F">
      <w:pPr>
        <w:autoSpaceDE w:val="0"/>
        <w:autoSpaceDN w:val="0"/>
        <w:adjustRightInd w:val="0"/>
        <w:jc w:val="both"/>
      </w:pPr>
      <w:r w:rsidRPr="00D50E91">
        <w:t>b) a lakó, a közösségi, az ipari és a mezőgazdasági rendeltetésű önálló rendeltetési egységek egymással, ha</w:t>
      </w:r>
    </w:p>
    <w:p w:rsidR="00C9769F" w:rsidRPr="00D50E91" w:rsidRDefault="00C9769F" w:rsidP="00C9769F">
      <w:pPr>
        <w:autoSpaceDE w:val="0"/>
        <w:autoSpaceDN w:val="0"/>
        <w:adjustRightInd w:val="0"/>
        <w:jc w:val="both"/>
      </w:pPr>
      <w:r w:rsidRPr="00D50E91">
        <w:t>ba) az 1. melléklet 4. táblázatában foglalt feltételek teljesülnek és</w:t>
      </w:r>
    </w:p>
    <w:p w:rsidR="00C9769F" w:rsidRPr="00D50E91" w:rsidRDefault="00C9769F" w:rsidP="00C9769F">
      <w:pPr>
        <w:autoSpaceDE w:val="0"/>
        <w:autoSpaceDN w:val="0"/>
        <w:adjustRightInd w:val="0"/>
        <w:jc w:val="both"/>
      </w:pPr>
      <w:r w:rsidRPr="00D50E91">
        <w:t>bb) beépített tűzjelző vagy tűzoltó berendezés létesítési kötelezettsége esetén a berendezést a befogadó tűzszakasz teljes területén, a lakások kivételével kiépítik.</w:t>
      </w:r>
    </w:p>
    <w:p w:rsidR="00C9769F" w:rsidRPr="00D50E91" w:rsidRDefault="00C9769F" w:rsidP="00C9769F">
      <w:pPr>
        <w:autoSpaceDE w:val="0"/>
        <w:autoSpaceDN w:val="0"/>
        <w:adjustRightInd w:val="0"/>
        <w:jc w:val="both"/>
      </w:pPr>
    </w:p>
    <w:p w:rsidR="00C9769F" w:rsidRPr="00D50E91" w:rsidRDefault="00C9769F" w:rsidP="00C9769F">
      <w:pPr>
        <w:autoSpaceDE w:val="0"/>
        <w:autoSpaceDN w:val="0"/>
        <w:adjustRightInd w:val="0"/>
        <w:jc w:val="both"/>
      </w:pPr>
      <w:r w:rsidRPr="00D50E91">
        <w:t>(2) Az (1) bekezdés szerinti esetekben a kockázati egység alaprendeltetése megegyezik a kockázati egységen belüli, azonos alaprendeltetésű önálló rendeltetési egységek alaprendeltetésenként összesített alapterülete alapján a legnagyobb területet elfoglaló alaprendeltetéssel, ha annak alapterülete meghaladja a teljes alapterület 50%</w:t>
      </w:r>
      <w:r w:rsidR="003528A8">
        <w:t>-</w:t>
      </w:r>
      <w:r w:rsidRPr="00D50E91">
        <w:t>át. Egyéb esetben a kockázati egység vegyes alaprendeltetésű.”</w:t>
      </w:r>
    </w:p>
    <w:p w:rsidR="00C9769F" w:rsidRPr="00D50E91" w:rsidRDefault="00C9769F" w:rsidP="00C9769F">
      <w:pPr>
        <w:autoSpaceDE w:val="0"/>
        <w:autoSpaceDN w:val="0"/>
        <w:adjustRightInd w:val="0"/>
        <w:jc w:val="both"/>
      </w:pPr>
    </w:p>
    <w:p w:rsidR="00C9769F" w:rsidRPr="00D50E91" w:rsidRDefault="00C9769F" w:rsidP="00C9769F">
      <w:pPr>
        <w:keepNext/>
        <w:numPr>
          <w:ilvl w:val="0"/>
          <w:numId w:val="2"/>
        </w:numPr>
        <w:spacing w:line="276" w:lineRule="auto"/>
        <w:ind w:left="0" w:firstLine="0"/>
        <w:jc w:val="center"/>
        <w:outlineLvl w:val="1"/>
        <w:rPr>
          <w:b/>
          <w:bCs/>
        </w:rPr>
      </w:pPr>
      <w:r w:rsidRPr="00D50E91">
        <w:rPr>
          <w:b/>
          <w:bCs/>
        </w:rPr>
        <w:t>§</w:t>
      </w:r>
    </w:p>
    <w:p w:rsidR="00C9769F" w:rsidRPr="00D50E91" w:rsidRDefault="00C9769F" w:rsidP="00C9769F">
      <w:pPr>
        <w:autoSpaceDE w:val="0"/>
        <w:autoSpaceDN w:val="0"/>
        <w:adjustRightInd w:val="0"/>
        <w:jc w:val="both"/>
      </w:pPr>
    </w:p>
    <w:p w:rsidR="00C9769F" w:rsidRPr="00D50E91" w:rsidRDefault="00C9769F" w:rsidP="00C9769F">
      <w:pPr>
        <w:autoSpaceDE w:val="0"/>
        <w:autoSpaceDN w:val="0"/>
        <w:adjustRightInd w:val="0"/>
        <w:jc w:val="both"/>
      </w:pPr>
      <w:r w:rsidRPr="00D50E91">
        <w:t>Az R. 12. §</w:t>
      </w:r>
      <w:r w:rsidR="003528A8">
        <w:t>-</w:t>
      </w:r>
      <w:r w:rsidRPr="00D50E91">
        <w:t>a helyébe a következő rendelkezés lép:</w:t>
      </w:r>
    </w:p>
    <w:p w:rsidR="00C9769F" w:rsidRPr="00D50E91" w:rsidRDefault="00C9769F" w:rsidP="00C9769F">
      <w:pPr>
        <w:autoSpaceDE w:val="0"/>
        <w:autoSpaceDN w:val="0"/>
        <w:adjustRightInd w:val="0"/>
        <w:jc w:val="both"/>
      </w:pPr>
    </w:p>
    <w:p w:rsidR="00C9769F" w:rsidRPr="00D50E91" w:rsidRDefault="00C9769F" w:rsidP="00C9769F">
      <w:pPr>
        <w:autoSpaceDE w:val="0"/>
        <w:autoSpaceDN w:val="0"/>
        <w:adjustRightInd w:val="0"/>
        <w:jc w:val="both"/>
      </w:pPr>
      <w:r w:rsidRPr="00D50E91">
        <w:t>„12. § (1) A kockázati egység kockázati osztályát</w:t>
      </w:r>
    </w:p>
    <w:p w:rsidR="00C9769F" w:rsidRPr="00D50E91" w:rsidRDefault="00C9769F" w:rsidP="00C9769F">
      <w:pPr>
        <w:autoSpaceDE w:val="0"/>
        <w:autoSpaceDN w:val="0"/>
        <w:adjustRightInd w:val="0"/>
        <w:jc w:val="both"/>
      </w:pPr>
      <w:r w:rsidRPr="00D50E91">
        <w:t>a) speciális építmény esetén a XII. fejezetben foglaltak alapján,</w:t>
      </w:r>
    </w:p>
    <w:p w:rsidR="00C9769F" w:rsidRPr="00D50E91" w:rsidRDefault="00C9769F" w:rsidP="00C9769F">
      <w:pPr>
        <w:autoSpaceDE w:val="0"/>
        <w:autoSpaceDN w:val="0"/>
        <w:adjustRightInd w:val="0"/>
        <w:jc w:val="both"/>
      </w:pPr>
      <w:r w:rsidRPr="00D50E91">
        <w:t>b) az 1. mellékletben foglalt 3. táblázatban nem szereplő tárolási, továbbá az ipari, mezőgazdasági rendeltetés esetén a (2) bekezdés alapján,</w:t>
      </w:r>
    </w:p>
    <w:p w:rsidR="00C9769F" w:rsidRPr="00D50E91" w:rsidRDefault="00C9769F" w:rsidP="00C9769F">
      <w:pPr>
        <w:autoSpaceDE w:val="0"/>
        <w:autoSpaceDN w:val="0"/>
        <w:adjustRightInd w:val="0"/>
        <w:jc w:val="both"/>
      </w:pPr>
      <w:r w:rsidRPr="00D50E91">
        <w:t>c) az 1. mellékletben foglalt 3. táblázatban szereplő tárolási rendeltetés esetén az 1</w:t>
      </w:r>
      <w:r w:rsidR="003528A8">
        <w:t>-</w:t>
      </w:r>
      <w:r w:rsidRPr="00D50E91">
        <w:t>3. táblázat, egyéb esetben az 1. mellékletben foglalt 1. és 2. táblázat alapján</w:t>
      </w:r>
    </w:p>
    <w:p w:rsidR="00C9769F" w:rsidRPr="00D50E91" w:rsidRDefault="00C9769F" w:rsidP="00C9769F">
      <w:pPr>
        <w:autoSpaceDE w:val="0"/>
        <w:autoSpaceDN w:val="0"/>
        <w:adjustRightInd w:val="0"/>
        <w:jc w:val="both"/>
      </w:pPr>
      <w:r w:rsidRPr="00D50E91">
        <w:t>kell meghatározni.</w:t>
      </w:r>
    </w:p>
    <w:p w:rsidR="00C9769F" w:rsidRPr="00D50E91" w:rsidRDefault="00C9769F" w:rsidP="00C9769F">
      <w:pPr>
        <w:autoSpaceDE w:val="0"/>
        <w:autoSpaceDN w:val="0"/>
        <w:adjustRightInd w:val="0"/>
        <w:jc w:val="both"/>
      </w:pPr>
    </w:p>
    <w:p w:rsidR="00C9769F" w:rsidRPr="00D50E91" w:rsidRDefault="00C9769F" w:rsidP="00C9769F">
      <w:pPr>
        <w:autoSpaceDE w:val="0"/>
        <w:autoSpaceDN w:val="0"/>
        <w:adjustRightInd w:val="0"/>
        <w:jc w:val="both"/>
      </w:pPr>
      <w:r w:rsidRPr="00D50E91">
        <w:t>(2) Az (1) bekezdés b) pontja szerinti esetben a kockázati egység kockázati osztályát a tűzvédelmi dokumentáció készítéséért felelős személy a 10. § (3) bekezdésben felsorolt jellemzők és a tűzvédelmi helyzetet befolyásoló egyéb körülmények vizsgálatával, mérlegelésével határozza meg.</w:t>
      </w:r>
    </w:p>
    <w:p w:rsidR="00C9769F" w:rsidRPr="00D50E91" w:rsidRDefault="00C9769F" w:rsidP="00C9769F">
      <w:pPr>
        <w:autoSpaceDE w:val="0"/>
        <w:autoSpaceDN w:val="0"/>
        <w:adjustRightInd w:val="0"/>
        <w:jc w:val="both"/>
      </w:pPr>
    </w:p>
    <w:p w:rsidR="00C9769F" w:rsidRPr="00D50E91" w:rsidRDefault="00C9769F" w:rsidP="00C9769F">
      <w:pPr>
        <w:autoSpaceDE w:val="0"/>
        <w:autoSpaceDN w:val="0"/>
        <w:adjustRightInd w:val="0"/>
        <w:jc w:val="both"/>
      </w:pPr>
      <w:r w:rsidRPr="00D50E91">
        <w:t>(3) Az épület, az önálló épületrész és a speciális építmény mértékadó kockázati osztálya megegyezik az abban lévő kockázati egységek kockázati osztályai közül a legszigorúbb kockázati osztállyal, de</w:t>
      </w:r>
    </w:p>
    <w:p w:rsidR="00C9769F" w:rsidRPr="00D50E91" w:rsidRDefault="00C9769F" w:rsidP="00C9769F">
      <w:pPr>
        <w:autoSpaceDE w:val="0"/>
        <w:autoSpaceDN w:val="0"/>
        <w:adjustRightInd w:val="0"/>
        <w:jc w:val="both"/>
      </w:pPr>
      <w:r w:rsidRPr="00D50E91">
        <w:t>a) legalább AK, ha az épület, önálló épületrész szintszáma meghaladja a 4 építményszintet,</w:t>
      </w:r>
    </w:p>
    <w:p w:rsidR="00C9769F" w:rsidRPr="00D50E91" w:rsidRDefault="00C9769F" w:rsidP="00C9769F">
      <w:pPr>
        <w:autoSpaceDE w:val="0"/>
        <w:autoSpaceDN w:val="0"/>
        <w:adjustRightInd w:val="0"/>
        <w:jc w:val="both"/>
      </w:pPr>
      <w:r w:rsidRPr="00D50E91">
        <w:t>b) legalább KK, ha az épület, önálló épületrész szintszáma meghaladja a 7 építményszintet,</w:t>
      </w:r>
    </w:p>
    <w:p w:rsidR="00C9769F" w:rsidRPr="00D50E91" w:rsidRDefault="00C9769F" w:rsidP="00C9769F">
      <w:pPr>
        <w:autoSpaceDE w:val="0"/>
        <w:autoSpaceDN w:val="0"/>
        <w:adjustRightInd w:val="0"/>
        <w:jc w:val="both"/>
      </w:pPr>
      <w:r w:rsidRPr="00D50E91">
        <w:t>c) MK, ha az épület, önálló épületrész szintszáma meghaladja a 15 építményszintet.</w:t>
      </w:r>
    </w:p>
    <w:p w:rsidR="00C9769F" w:rsidRPr="00D50E91" w:rsidRDefault="00C9769F" w:rsidP="00C9769F">
      <w:pPr>
        <w:autoSpaceDE w:val="0"/>
        <w:autoSpaceDN w:val="0"/>
        <w:adjustRightInd w:val="0"/>
        <w:jc w:val="both"/>
      </w:pPr>
    </w:p>
    <w:p w:rsidR="00C9769F" w:rsidRPr="00D50E91" w:rsidRDefault="00C9769F" w:rsidP="00C9769F">
      <w:pPr>
        <w:autoSpaceDE w:val="0"/>
        <w:autoSpaceDN w:val="0"/>
        <w:adjustRightInd w:val="0"/>
        <w:jc w:val="both"/>
      </w:pPr>
      <w:r w:rsidRPr="00D50E91">
        <w:t>(4) Az építményszintek számának e rendelet szerinti megállapításánál, valamint a kockázati osztály 1. melléklet 1. táblázat 2. sora szerinti megállapításánál figyelmen kívül hagyható</w:t>
      </w:r>
    </w:p>
    <w:p w:rsidR="00C9769F" w:rsidRPr="00D50E91" w:rsidRDefault="00C9769F" w:rsidP="00C9769F">
      <w:pPr>
        <w:autoSpaceDE w:val="0"/>
        <w:autoSpaceDN w:val="0"/>
        <w:adjustRightInd w:val="0"/>
        <w:jc w:val="both"/>
      </w:pPr>
      <w:r w:rsidRPr="00D50E91">
        <w:t>a) az a tetőszint, amelyen felvonógépház, lépcsőház felső szintje, továbbá gépészeti helyiség található és a gépészeti helyiségek összesített alapterülete nem haladja meg a tetőszint alapterületének 25 %</w:t>
      </w:r>
      <w:r w:rsidR="003528A8">
        <w:t>-</w:t>
      </w:r>
      <w:r w:rsidRPr="00D50E91">
        <w:t>át,</w:t>
      </w:r>
    </w:p>
    <w:p w:rsidR="00C9769F" w:rsidRPr="00D50E91" w:rsidRDefault="00C9769F" w:rsidP="00C9769F">
      <w:pPr>
        <w:autoSpaceDE w:val="0"/>
        <w:autoSpaceDN w:val="0"/>
        <w:adjustRightInd w:val="0"/>
        <w:jc w:val="both"/>
      </w:pPr>
      <w:r w:rsidRPr="00D50E91">
        <w:lastRenderedPageBreak/>
        <w:t>b) az a tetőtér, amelyben csak felvonógépház, lépcsőház felső szintje, továbbá gépészeti helyiség található és a gépészeti helyiségek összesített alapterülete nem haladja meg a tetőtér alapterületének 25 %</w:t>
      </w:r>
      <w:r w:rsidR="003528A8">
        <w:t>-</w:t>
      </w:r>
      <w:r w:rsidRPr="00D50E91">
        <w:t>át,</w:t>
      </w:r>
    </w:p>
    <w:p w:rsidR="00C9769F" w:rsidRPr="00D50E91" w:rsidRDefault="00C9769F" w:rsidP="00C9769F">
      <w:pPr>
        <w:autoSpaceDE w:val="0"/>
        <w:autoSpaceDN w:val="0"/>
        <w:adjustRightInd w:val="0"/>
        <w:jc w:val="both"/>
      </w:pPr>
      <w:r w:rsidRPr="00D50E91">
        <w:t>c) az a tetőtér, amelyben a b) pontban foglaltakon kívül kétszintes lakások felső szintje található és valamennyi lakás megközelítése a tetőtér alatti szintről biztosított,</w:t>
      </w:r>
    </w:p>
    <w:p w:rsidR="00C9769F" w:rsidRPr="00D50E91" w:rsidRDefault="00C9769F" w:rsidP="00C9769F">
      <w:pPr>
        <w:autoSpaceDE w:val="0"/>
        <w:autoSpaceDN w:val="0"/>
        <w:adjustRightInd w:val="0"/>
        <w:jc w:val="both"/>
      </w:pPr>
      <w:r w:rsidRPr="00D50E91">
        <w:t>d) a galéria, osztószint,</w:t>
      </w:r>
    </w:p>
    <w:p w:rsidR="00C9769F" w:rsidRPr="00D50E91" w:rsidRDefault="00C9769F" w:rsidP="00C9769F">
      <w:pPr>
        <w:autoSpaceDE w:val="0"/>
        <w:autoSpaceDN w:val="0"/>
        <w:adjustRightInd w:val="0"/>
        <w:jc w:val="both"/>
      </w:pPr>
      <w:r w:rsidRPr="00D50E91">
        <w:t>e) ipari, mezőgazdasági, tárolási alaprendeltetés esetén a technológiai szint,</w:t>
      </w:r>
    </w:p>
    <w:p w:rsidR="00C9769F" w:rsidRPr="00D50E91" w:rsidRDefault="00C9769F" w:rsidP="00C9769F">
      <w:pPr>
        <w:autoSpaceDE w:val="0"/>
        <w:autoSpaceDN w:val="0"/>
        <w:adjustRightInd w:val="0"/>
        <w:jc w:val="both"/>
      </w:pPr>
      <w:r w:rsidRPr="00D50E91">
        <w:t>f) szinteltolásos kialakítás esetén az a félszint, amely nem befolyásolja számottevően a kockázat mértékét,</w:t>
      </w:r>
    </w:p>
    <w:p w:rsidR="00C9769F" w:rsidRPr="00D50E91" w:rsidRDefault="00C9769F" w:rsidP="00C9769F">
      <w:pPr>
        <w:autoSpaceDE w:val="0"/>
        <w:autoSpaceDN w:val="0"/>
        <w:adjustRightInd w:val="0"/>
        <w:jc w:val="both"/>
      </w:pPr>
      <w:r w:rsidRPr="00D50E91">
        <w:t>g) az épület részét képező olyan kilátószint, továbbá az olyan pinceszint, amely kiterjedése, befogadóképessége és rendeltetése alapján nem befolyásolja számottevően a kockázat mértékét.</w:t>
      </w:r>
    </w:p>
    <w:p w:rsidR="00C9769F" w:rsidRPr="00D50E91" w:rsidRDefault="00C9769F" w:rsidP="00C9769F">
      <w:pPr>
        <w:autoSpaceDE w:val="0"/>
        <w:autoSpaceDN w:val="0"/>
        <w:adjustRightInd w:val="0"/>
        <w:jc w:val="both"/>
      </w:pPr>
    </w:p>
    <w:p w:rsidR="00C9769F" w:rsidRPr="00D50E91" w:rsidRDefault="00C9769F" w:rsidP="00C9769F">
      <w:pPr>
        <w:autoSpaceDE w:val="0"/>
        <w:autoSpaceDN w:val="0"/>
        <w:adjustRightInd w:val="0"/>
        <w:jc w:val="both"/>
      </w:pPr>
      <w:r w:rsidRPr="00D50E91">
        <w:t>(5) A kockázat mértéke szerint az épület, önálló épületrész, a speciális építmény és a kockázati egység</w:t>
      </w:r>
    </w:p>
    <w:p w:rsidR="00C9769F" w:rsidRPr="00D50E91" w:rsidRDefault="00C9769F" w:rsidP="00C9769F">
      <w:pPr>
        <w:autoSpaceDE w:val="0"/>
        <w:autoSpaceDN w:val="0"/>
        <w:adjustRightInd w:val="0"/>
        <w:jc w:val="both"/>
      </w:pPr>
      <w:r w:rsidRPr="00D50E91">
        <w:t>a) nagyon alacsony kockázati, NAK osztályba,</w:t>
      </w:r>
    </w:p>
    <w:p w:rsidR="00C9769F" w:rsidRPr="00D50E91" w:rsidRDefault="00C9769F" w:rsidP="00C9769F">
      <w:pPr>
        <w:autoSpaceDE w:val="0"/>
        <w:autoSpaceDN w:val="0"/>
        <w:adjustRightInd w:val="0"/>
        <w:jc w:val="both"/>
      </w:pPr>
      <w:r w:rsidRPr="00D50E91">
        <w:t>b) alacsony kockázati, AK osztályba,</w:t>
      </w:r>
    </w:p>
    <w:p w:rsidR="00C9769F" w:rsidRPr="00D50E91" w:rsidRDefault="00C9769F" w:rsidP="00C9769F">
      <w:pPr>
        <w:autoSpaceDE w:val="0"/>
        <w:autoSpaceDN w:val="0"/>
        <w:adjustRightInd w:val="0"/>
        <w:jc w:val="both"/>
      </w:pPr>
      <w:r w:rsidRPr="00D50E91">
        <w:t>c) közepes kockázati, KK osztályba vagy</w:t>
      </w:r>
    </w:p>
    <w:p w:rsidR="00C9769F" w:rsidRPr="00D50E91" w:rsidRDefault="00C9769F" w:rsidP="00C9769F">
      <w:pPr>
        <w:autoSpaceDE w:val="0"/>
        <w:autoSpaceDN w:val="0"/>
        <w:adjustRightInd w:val="0"/>
        <w:jc w:val="both"/>
      </w:pPr>
      <w:r w:rsidRPr="00D50E91">
        <w:t>d) magas kockázati, MK osztályba</w:t>
      </w:r>
    </w:p>
    <w:p w:rsidR="00C9769F" w:rsidRPr="00D50E91" w:rsidRDefault="00C9769F" w:rsidP="00C9769F">
      <w:pPr>
        <w:autoSpaceDE w:val="0"/>
        <w:autoSpaceDN w:val="0"/>
        <w:adjustRightInd w:val="0"/>
        <w:jc w:val="both"/>
      </w:pPr>
      <w:r w:rsidRPr="00D50E91">
        <w:t>tartozik.”</w:t>
      </w:r>
    </w:p>
    <w:p w:rsidR="00C9769F" w:rsidRPr="00D50E91" w:rsidRDefault="00C9769F" w:rsidP="00C9769F">
      <w:pPr>
        <w:autoSpaceDE w:val="0"/>
        <w:autoSpaceDN w:val="0"/>
        <w:adjustRightInd w:val="0"/>
        <w:jc w:val="both"/>
      </w:pPr>
    </w:p>
    <w:p w:rsidR="00C9769F" w:rsidRPr="00D50E91" w:rsidRDefault="00C9769F" w:rsidP="00C9769F">
      <w:pPr>
        <w:keepNext/>
        <w:numPr>
          <w:ilvl w:val="0"/>
          <w:numId w:val="2"/>
        </w:numPr>
        <w:spacing w:line="276" w:lineRule="auto"/>
        <w:ind w:left="0" w:firstLine="0"/>
        <w:jc w:val="center"/>
        <w:outlineLvl w:val="1"/>
        <w:rPr>
          <w:b/>
          <w:bCs/>
        </w:rPr>
      </w:pPr>
      <w:r w:rsidRPr="00D50E91">
        <w:rPr>
          <w:b/>
          <w:bCs/>
        </w:rPr>
        <w:t>§</w:t>
      </w:r>
    </w:p>
    <w:p w:rsidR="00C9769F" w:rsidRPr="00D50E91" w:rsidRDefault="00C9769F" w:rsidP="00C9769F">
      <w:pPr>
        <w:autoSpaceDE w:val="0"/>
        <w:autoSpaceDN w:val="0"/>
        <w:adjustRightInd w:val="0"/>
        <w:jc w:val="both"/>
      </w:pPr>
      <w:r w:rsidRPr="00D50E91">
        <w:t>(1) Az R. 13. § (2) és (3) bekezdése helyébe a következő rendelkezések lépnek:</w:t>
      </w:r>
    </w:p>
    <w:p w:rsidR="00C9769F" w:rsidRPr="00D50E91" w:rsidRDefault="00C9769F" w:rsidP="00C9769F">
      <w:pPr>
        <w:autoSpaceDE w:val="0"/>
        <w:autoSpaceDN w:val="0"/>
        <w:adjustRightInd w:val="0"/>
        <w:jc w:val="both"/>
      </w:pPr>
    </w:p>
    <w:p w:rsidR="00C9769F" w:rsidRPr="00D50E91" w:rsidRDefault="00C9769F" w:rsidP="00C9769F">
      <w:pPr>
        <w:autoSpaceDE w:val="0"/>
        <w:autoSpaceDN w:val="0"/>
        <w:adjustRightInd w:val="0"/>
        <w:jc w:val="both"/>
      </w:pPr>
      <w:r w:rsidRPr="00D50E91">
        <w:t>„(2) Az Az F, F</w:t>
      </w:r>
      <w:r w:rsidRPr="00D50E91">
        <w:rPr>
          <w:vertAlign w:val="subscript"/>
        </w:rPr>
        <w:t>fl</w:t>
      </w:r>
      <w:r w:rsidRPr="00D50E91">
        <w:t xml:space="preserve"> és F</w:t>
      </w:r>
      <w:r w:rsidRPr="00D50E91">
        <w:rPr>
          <w:vertAlign w:val="subscript"/>
        </w:rPr>
        <w:t>L</w:t>
      </w:r>
      <w:r w:rsidRPr="00D50E91">
        <w:t xml:space="preserve"> tűzvédelmi osztályú építőanyag, építési termék, valamint az olyan építőanyag, építési termék, amelynek tűzvédelmi osztályát nem állapították meg, csak abban az esetben építhető be, ha</w:t>
      </w:r>
    </w:p>
    <w:p w:rsidR="00C9769F" w:rsidRPr="00D50E91" w:rsidRDefault="00C9769F" w:rsidP="00C9769F">
      <w:pPr>
        <w:autoSpaceDE w:val="0"/>
        <w:autoSpaceDN w:val="0"/>
        <w:adjustRightInd w:val="0"/>
        <w:jc w:val="both"/>
      </w:pPr>
      <w:r w:rsidRPr="00D50E91">
        <w:t>a) felhasználását műszaki előírás kifejezetten engedélyezi, vagy</w:t>
      </w:r>
    </w:p>
    <w:p w:rsidR="00C9769F" w:rsidRPr="00D50E91" w:rsidRDefault="00C9769F" w:rsidP="00C9769F">
      <w:pPr>
        <w:autoSpaceDE w:val="0"/>
        <w:autoSpaceDN w:val="0"/>
        <w:adjustRightInd w:val="0"/>
        <w:jc w:val="both"/>
      </w:pPr>
      <w:r w:rsidRPr="00D50E91">
        <w:t>b) a felhasználás során többrétegű építményszerkezetet hoznak létre, amellyel szemben e rendelet tűzállósági teljesítmény</w:t>
      </w:r>
      <w:r w:rsidR="003528A8">
        <w:t>-</w:t>
      </w:r>
      <w:r w:rsidRPr="00D50E91">
        <w:t>követelményt támaszt, és a létrehozott építményszerkezet az F, F</w:t>
      </w:r>
      <w:r w:rsidRPr="00D50E91">
        <w:rPr>
          <w:vertAlign w:val="subscript"/>
        </w:rPr>
        <w:t>fl</w:t>
      </w:r>
      <w:r w:rsidRPr="00D50E91">
        <w:t xml:space="preserve"> és F</w:t>
      </w:r>
      <w:r w:rsidRPr="00D50E91">
        <w:rPr>
          <w:vertAlign w:val="subscript"/>
        </w:rPr>
        <w:t>L</w:t>
      </w:r>
      <w:r w:rsidRPr="00D50E91">
        <w:t xml:space="preserve"> tűzvédelmi osztályú építőanyaggal, építési termékkel együtt vizsgálva A1, A1</w:t>
      </w:r>
      <w:r w:rsidRPr="00D50E91">
        <w:rPr>
          <w:vertAlign w:val="subscript"/>
        </w:rPr>
        <w:t>fl</w:t>
      </w:r>
      <w:r w:rsidRPr="00D50E91">
        <w:t>, A1</w:t>
      </w:r>
      <w:r w:rsidRPr="00D50E91">
        <w:rPr>
          <w:vertAlign w:val="subscript"/>
        </w:rPr>
        <w:t>L</w:t>
      </w:r>
      <w:r w:rsidRPr="00D50E91">
        <w:t>, A2, A2</w:t>
      </w:r>
      <w:r w:rsidRPr="00D50E91">
        <w:rPr>
          <w:vertAlign w:val="subscript"/>
        </w:rPr>
        <w:t>fl</w:t>
      </w:r>
      <w:r w:rsidRPr="00D50E91">
        <w:t>, A2</w:t>
      </w:r>
      <w:r w:rsidRPr="00D50E91">
        <w:rPr>
          <w:vertAlign w:val="subscript"/>
        </w:rPr>
        <w:t>L</w:t>
      </w:r>
      <w:r w:rsidRPr="00D50E91">
        <w:t xml:space="preserve"> vagy B, B</w:t>
      </w:r>
      <w:r w:rsidRPr="00D50E91">
        <w:rPr>
          <w:vertAlign w:val="subscript"/>
        </w:rPr>
        <w:t>fl</w:t>
      </w:r>
      <w:r w:rsidRPr="00D50E91">
        <w:t>, B</w:t>
      </w:r>
      <w:r w:rsidRPr="00D50E91">
        <w:rPr>
          <w:vertAlign w:val="subscript"/>
        </w:rPr>
        <w:t>L</w:t>
      </w:r>
      <w:r w:rsidRPr="00D50E91">
        <w:t xml:space="preserve"> tűzvédelmi osztályba tartozik és kielégíti a tűzállósági teljesítmény</w:t>
      </w:r>
      <w:r w:rsidR="003528A8">
        <w:t>-</w:t>
      </w:r>
      <w:r w:rsidRPr="00D50E91">
        <w:t>követelményt.</w:t>
      </w:r>
      <w:r w:rsidRPr="00D50E91">
        <w:rPr>
          <w:strike/>
        </w:rPr>
        <w:t>”</w:t>
      </w:r>
    </w:p>
    <w:p w:rsidR="00C9769F" w:rsidRPr="00D50E91" w:rsidRDefault="00C9769F" w:rsidP="00C9769F">
      <w:pPr>
        <w:autoSpaceDE w:val="0"/>
        <w:autoSpaceDN w:val="0"/>
        <w:adjustRightInd w:val="0"/>
        <w:jc w:val="both"/>
      </w:pPr>
    </w:p>
    <w:p w:rsidR="00C9769F" w:rsidRPr="00D50E91" w:rsidRDefault="00C9769F" w:rsidP="00C9769F">
      <w:pPr>
        <w:autoSpaceDE w:val="0"/>
        <w:autoSpaceDN w:val="0"/>
        <w:adjustRightInd w:val="0"/>
        <w:jc w:val="both"/>
      </w:pPr>
      <w:r w:rsidRPr="00D50E91">
        <w:t>(3) Az F, F</w:t>
      </w:r>
      <w:r w:rsidRPr="00D50E91">
        <w:rPr>
          <w:vertAlign w:val="subscript"/>
        </w:rPr>
        <w:t>fl</w:t>
      </w:r>
      <w:r w:rsidRPr="00D50E91">
        <w:t xml:space="preserve"> és F</w:t>
      </w:r>
      <w:r w:rsidRPr="00D50E91">
        <w:rPr>
          <w:vertAlign w:val="subscript"/>
        </w:rPr>
        <w:t>L</w:t>
      </w:r>
      <w:r w:rsidRPr="00D50E91">
        <w:t xml:space="preserve"> tűzvédelmi osztályú építőanyagot tartalmazó többrétegű építési termék csak abban az esetben építhető be, ha az F, F</w:t>
      </w:r>
      <w:r w:rsidRPr="00D50E91">
        <w:rPr>
          <w:vertAlign w:val="subscript"/>
        </w:rPr>
        <w:t>fl</w:t>
      </w:r>
      <w:r w:rsidRPr="00D50E91">
        <w:t xml:space="preserve"> és F</w:t>
      </w:r>
      <w:r w:rsidRPr="00D50E91">
        <w:rPr>
          <w:vertAlign w:val="subscript"/>
        </w:rPr>
        <w:t>L</w:t>
      </w:r>
      <w:r w:rsidRPr="00D50E91">
        <w:t xml:space="preserve"> tűzvédelmi osztályú építőanyaggal együtt vizsgálva az A1, A1</w:t>
      </w:r>
      <w:r w:rsidRPr="00D50E91">
        <w:rPr>
          <w:vertAlign w:val="subscript"/>
        </w:rPr>
        <w:t>fl</w:t>
      </w:r>
      <w:r w:rsidRPr="00D50E91">
        <w:t>, A1</w:t>
      </w:r>
      <w:r w:rsidRPr="00D50E91">
        <w:rPr>
          <w:vertAlign w:val="subscript"/>
        </w:rPr>
        <w:t>L</w:t>
      </w:r>
      <w:r w:rsidRPr="00D50E91">
        <w:t>, A2, A2</w:t>
      </w:r>
      <w:r w:rsidRPr="00D50E91">
        <w:rPr>
          <w:vertAlign w:val="subscript"/>
        </w:rPr>
        <w:t>fl</w:t>
      </w:r>
      <w:r w:rsidRPr="00D50E91">
        <w:t>, A2</w:t>
      </w:r>
      <w:r w:rsidRPr="00D50E91">
        <w:rPr>
          <w:vertAlign w:val="subscript"/>
        </w:rPr>
        <w:t>L</w:t>
      </w:r>
      <w:r w:rsidRPr="00D50E91">
        <w:t xml:space="preserve">  vagy B, B</w:t>
      </w:r>
      <w:r w:rsidRPr="00D50E91">
        <w:rPr>
          <w:vertAlign w:val="subscript"/>
        </w:rPr>
        <w:t>fl</w:t>
      </w:r>
      <w:r w:rsidRPr="00D50E91">
        <w:t>,B</w:t>
      </w:r>
      <w:r w:rsidRPr="00D50E91">
        <w:rPr>
          <w:vertAlign w:val="subscript"/>
        </w:rPr>
        <w:t>L</w:t>
      </w:r>
      <w:r w:rsidRPr="00D50E91">
        <w:t xml:space="preserve"> tűzvédelmi osztályba tartozik, és az F , F</w:t>
      </w:r>
      <w:r w:rsidRPr="00D50E91">
        <w:rPr>
          <w:vertAlign w:val="subscript"/>
        </w:rPr>
        <w:t>fl</w:t>
      </w:r>
      <w:r w:rsidRPr="00D50E91">
        <w:t xml:space="preserve"> és F</w:t>
      </w:r>
      <w:r w:rsidRPr="00D50E91">
        <w:rPr>
          <w:vertAlign w:val="subscript"/>
        </w:rPr>
        <w:t>L</w:t>
      </w:r>
      <w:r w:rsidRPr="00D50E91">
        <w:t xml:space="preserve"> tűzvédelmi osztályba tartozó anyag folytonossága A1 vagy A2, s1, d0 tűzvédelmi osztályba tartozó anyaggal indokolt esetben </w:t>
      </w:r>
      <w:r w:rsidR="003528A8">
        <w:t>-</w:t>
      </w:r>
      <w:r w:rsidRPr="00D50E91">
        <w:t xml:space="preserve"> tűzszakaszhatáron </w:t>
      </w:r>
      <w:r w:rsidR="003528A8">
        <w:t>-</w:t>
      </w:r>
      <w:r w:rsidRPr="00D50E91">
        <w:t xml:space="preserve"> megszakítható.”</w:t>
      </w:r>
    </w:p>
    <w:p w:rsidR="00C9769F" w:rsidRPr="00D50E91" w:rsidRDefault="00C9769F" w:rsidP="00C9769F">
      <w:pPr>
        <w:autoSpaceDE w:val="0"/>
        <w:autoSpaceDN w:val="0"/>
        <w:adjustRightInd w:val="0"/>
        <w:jc w:val="both"/>
      </w:pPr>
    </w:p>
    <w:p w:rsidR="00C9769F" w:rsidRPr="00D50E91" w:rsidRDefault="00C9769F" w:rsidP="00C9769F">
      <w:pPr>
        <w:keepNext/>
        <w:numPr>
          <w:ilvl w:val="0"/>
          <w:numId w:val="2"/>
        </w:numPr>
        <w:spacing w:line="276" w:lineRule="auto"/>
        <w:ind w:left="0" w:firstLine="0"/>
        <w:jc w:val="center"/>
        <w:outlineLvl w:val="1"/>
        <w:rPr>
          <w:b/>
          <w:bCs/>
        </w:rPr>
      </w:pPr>
      <w:r w:rsidRPr="00D50E91">
        <w:rPr>
          <w:b/>
          <w:bCs/>
        </w:rPr>
        <w:t>§</w:t>
      </w:r>
    </w:p>
    <w:p w:rsidR="00C9769F" w:rsidRPr="00D50E91" w:rsidRDefault="00C9769F" w:rsidP="00C9769F">
      <w:pPr>
        <w:autoSpaceDE w:val="0"/>
        <w:autoSpaceDN w:val="0"/>
        <w:adjustRightInd w:val="0"/>
        <w:jc w:val="both"/>
      </w:pPr>
    </w:p>
    <w:p w:rsidR="00C9769F" w:rsidRPr="00D50E91" w:rsidRDefault="00C9769F" w:rsidP="00C9769F">
      <w:pPr>
        <w:autoSpaceDE w:val="0"/>
        <w:autoSpaceDN w:val="0"/>
        <w:adjustRightInd w:val="0"/>
        <w:jc w:val="both"/>
      </w:pPr>
      <w:r w:rsidRPr="00D50E91">
        <w:t>(1) Az R. 15. § (2) bekezdés nyitó szövegrésze helyébe a következő rendelkezés lép:</w:t>
      </w:r>
    </w:p>
    <w:p w:rsidR="00C9769F" w:rsidRPr="00D50E91" w:rsidRDefault="00C9769F" w:rsidP="00C9769F">
      <w:pPr>
        <w:autoSpaceDE w:val="0"/>
        <w:autoSpaceDN w:val="0"/>
        <w:adjustRightInd w:val="0"/>
        <w:jc w:val="both"/>
      </w:pPr>
    </w:p>
    <w:p w:rsidR="00C9769F" w:rsidRPr="00D50E91" w:rsidRDefault="00C9769F" w:rsidP="00C9769F">
      <w:pPr>
        <w:autoSpaceDE w:val="0"/>
        <w:autoSpaceDN w:val="0"/>
        <w:adjustRightInd w:val="0"/>
        <w:jc w:val="both"/>
      </w:pPr>
      <w:r w:rsidRPr="00D50E91">
        <w:t>„(2) Az alábbi építmények építményszerkezeteivel, építési termékeivel szemben a 13. § (1)</w:t>
      </w:r>
      <w:r w:rsidR="003528A8">
        <w:t>-</w:t>
      </w:r>
      <w:r w:rsidRPr="00D50E91">
        <w:t>(3) bekezdésében meghatározott korlátozások kivételével nincs tűzvédelmi követelmény, ha az építmény és a szomszédos építmények, szabadtéri tárolóterületek között a tűzterjedés elleni védelmet biztosítják:”</w:t>
      </w:r>
    </w:p>
    <w:p w:rsidR="00C9769F" w:rsidRPr="00D50E91" w:rsidRDefault="00C9769F" w:rsidP="00C9769F">
      <w:pPr>
        <w:autoSpaceDE w:val="0"/>
        <w:autoSpaceDN w:val="0"/>
        <w:adjustRightInd w:val="0"/>
        <w:jc w:val="both"/>
      </w:pPr>
    </w:p>
    <w:p w:rsidR="00C9769F" w:rsidRPr="00D50E91" w:rsidRDefault="00C9769F" w:rsidP="00C9769F">
      <w:pPr>
        <w:autoSpaceDE w:val="0"/>
        <w:autoSpaceDN w:val="0"/>
        <w:adjustRightInd w:val="0"/>
        <w:jc w:val="both"/>
      </w:pPr>
      <w:r w:rsidRPr="00D50E91">
        <w:t>(2) Az R. 15. § (4) bekezdése helyébe a következő rendelkezés lép:</w:t>
      </w:r>
    </w:p>
    <w:p w:rsidR="00C9769F" w:rsidRPr="00D50E91" w:rsidRDefault="00C9769F" w:rsidP="00C9769F">
      <w:pPr>
        <w:autoSpaceDE w:val="0"/>
        <w:autoSpaceDN w:val="0"/>
        <w:adjustRightInd w:val="0"/>
        <w:jc w:val="both"/>
      </w:pPr>
    </w:p>
    <w:p w:rsidR="00C9769F" w:rsidRPr="00D50E91" w:rsidRDefault="00C9769F" w:rsidP="00C9769F">
      <w:pPr>
        <w:autoSpaceDE w:val="0"/>
        <w:autoSpaceDN w:val="0"/>
        <w:adjustRightInd w:val="0"/>
        <w:jc w:val="both"/>
      </w:pPr>
      <w:r w:rsidRPr="00D50E91">
        <w:lastRenderedPageBreak/>
        <w:t>„(4) A villamos vagy gépészeti szerelvényt tartalmazó konténereknek meg kell felelniük az épület</w:t>
      </w:r>
      <w:r w:rsidR="005E623E">
        <w:t>ekre vonatkozó követelményeknek</w:t>
      </w:r>
      <w:r w:rsidRPr="00D50E91">
        <w:t xml:space="preserve"> kivéve, ha a konténer</w:t>
      </w:r>
    </w:p>
    <w:p w:rsidR="00C9769F" w:rsidRPr="00D50E91" w:rsidRDefault="00C9769F" w:rsidP="00C9769F">
      <w:pPr>
        <w:autoSpaceDE w:val="0"/>
        <w:autoSpaceDN w:val="0"/>
        <w:adjustRightInd w:val="0"/>
        <w:jc w:val="both"/>
      </w:pPr>
      <w:r w:rsidRPr="00D50E91">
        <w:t>a) kizárólag tárolásra, berendezés vagy technológia elhelyezésére szolgál,</w:t>
      </w:r>
    </w:p>
    <w:p w:rsidR="00C9769F" w:rsidRPr="00D50E91" w:rsidRDefault="00C9769F" w:rsidP="00C9769F">
      <w:pPr>
        <w:autoSpaceDE w:val="0"/>
        <w:autoSpaceDN w:val="0"/>
        <w:adjustRightInd w:val="0"/>
        <w:jc w:val="both"/>
      </w:pPr>
      <w:r w:rsidRPr="00D50E91">
        <w:t>b) egyszintes, közösségi rendeltetésű és nem szolgál huzamos tartózkodásra, vagy</w:t>
      </w:r>
    </w:p>
    <w:p w:rsidR="00C9769F" w:rsidRPr="00D50E91" w:rsidRDefault="00C9769F" w:rsidP="00C9769F">
      <w:pPr>
        <w:autoSpaceDE w:val="0"/>
        <w:autoSpaceDN w:val="0"/>
        <w:adjustRightInd w:val="0"/>
        <w:jc w:val="both"/>
      </w:pPr>
      <w:r w:rsidRPr="00D50E91">
        <w:t>c) pirotechnikai termékek ideiglenes, kézi vagy átmeneti tárolóhelye.”</w:t>
      </w:r>
    </w:p>
    <w:p w:rsidR="00C9769F" w:rsidRPr="00D50E91" w:rsidRDefault="00C9769F" w:rsidP="00C9769F">
      <w:pPr>
        <w:autoSpaceDE w:val="0"/>
        <w:autoSpaceDN w:val="0"/>
        <w:adjustRightInd w:val="0"/>
        <w:jc w:val="both"/>
      </w:pPr>
    </w:p>
    <w:p w:rsidR="00C9769F" w:rsidRPr="00D50E91" w:rsidRDefault="00C9769F" w:rsidP="00C9769F">
      <w:pPr>
        <w:autoSpaceDE w:val="0"/>
        <w:autoSpaceDN w:val="0"/>
        <w:adjustRightInd w:val="0"/>
        <w:jc w:val="both"/>
      </w:pPr>
      <w:r w:rsidRPr="00D50E91">
        <w:t>(3) Az R. 15. §</w:t>
      </w:r>
      <w:r w:rsidR="003528A8">
        <w:t>-</w:t>
      </w:r>
      <w:r w:rsidRPr="00D50E91">
        <w:t>a a következő (5) bekezdéssel egészül ki:</w:t>
      </w:r>
    </w:p>
    <w:p w:rsidR="00C9769F" w:rsidRPr="00D50E91" w:rsidRDefault="00C9769F" w:rsidP="00C9769F">
      <w:pPr>
        <w:autoSpaceDE w:val="0"/>
        <w:autoSpaceDN w:val="0"/>
        <w:adjustRightInd w:val="0"/>
        <w:jc w:val="both"/>
      </w:pPr>
    </w:p>
    <w:p w:rsidR="00C9769F" w:rsidRPr="00D50E91" w:rsidRDefault="00C9769F" w:rsidP="00C9769F">
      <w:pPr>
        <w:autoSpaceDE w:val="0"/>
        <w:autoSpaceDN w:val="0"/>
        <w:adjustRightInd w:val="0"/>
        <w:jc w:val="both"/>
      </w:pPr>
      <w:r w:rsidRPr="00D50E91">
        <w:t>„(5) Az építményhez illesztett, azzal azonos telken álló, szín építménynek nem minősülő, időjárás elleni védelmet biztosító előtető, tető építményszerkezeteivel és építési termékeivel szemben a 13. § (1)</w:t>
      </w:r>
      <w:r w:rsidR="003528A8">
        <w:t>-</w:t>
      </w:r>
      <w:r w:rsidRPr="00D50E91">
        <w:t>(3) bekezdésében meghatározott korlátozások kivételével nincs tűzvédelmi követelmény, ha</w:t>
      </w:r>
    </w:p>
    <w:p w:rsidR="00C9769F" w:rsidRPr="00D50E91" w:rsidRDefault="00C9769F" w:rsidP="00C9769F">
      <w:pPr>
        <w:autoSpaceDE w:val="0"/>
        <w:autoSpaceDN w:val="0"/>
        <w:adjustRightInd w:val="0"/>
        <w:jc w:val="both"/>
      </w:pPr>
      <w:r w:rsidRPr="00D50E91">
        <w:t>a) kialakítása a tűzterjedésgátlást, a kiürítést és a hő és füst elleni védelmet kedvezőtlenül nem befolyásolja,</w:t>
      </w:r>
    </w:p>
    <w:p w:rsidR="00C9769F" w:rsidRPr="00D50E91" w:rsidRDefault="00C9769F" w:rsidP="00C9769F">
      <w:pPr>
        <w:autoSpaceDE w:val="0"/>
        <w:autoSpaceDN w:val="0"/>
        <w:adjustRightInd w:val="0"/>
        <w:jc w:val="both"/>
      </w:pPr>
      <w:r w:rsidRPr="00D50E91">
        <w:t>b) tönkremenetele nem okoz állékonyságvesztést a szomszédos építményekben és</w:t>
      </w:r>
    </w:p>
    <w:p w:rsidR="00C9769F" w:rsidRPr="00D50E91" w:rsidRDefault="00C9769F" w:rsidP="00C9769F">
      <w:pPr>
        <w:autoSpaceDE w:val="0"/>
        <w:autoSpaceDN w:val="0"/>
        <w:adjustRightInd w:val="0"/>
        <w:jc w:val="both"/>
      </w:pPr>
      <w:r w:rsidRPr="00D50E91">
        <w:t>c) a tető, előtető alatt végzett tárolás esetén az építményben létesített beépített tűzjelző és tűzoltó berendezést a tető, előtető területére is kiterjesztik.”</w:t>
      </w:r>
    </w:p>
    <w:p w:rsidR="00C9769F" w:rsidRPr="00D50E91" w:rsidRDefault="00C9769F" w:rsidP="00C9769F">
      <w:pPr>
        <w:autoSpaceDE w:val="0"/>
        <w:autoSpaceDN w:val="0"/>
        <w:adjustRightInd w:val="0"/>
        <w:jc w:val="both"/>
      </w:pPr>
    </w:p>
    <w:p w:rsidR="00C9769F" w:rsidRPr="00D50E91" w:rsidRDefault="00C9769F" w:rsidP="00C9769F">
      <w:pPr>
        <w:keepNext/>
        <w:numPr>
          <w:ilvl w:val="0"/>
          <w:numId w:val="2"/>
        </w:numPr>
        <w:spacing w:line="276" w:lineRule="auto"/>
        <w:ind w:left="0" w:firstLine="0"/>
        <w:jc w:val="center"/>
        <w:outlineLvl w:val="1"/>
        <w:rPr>
          <w:b/>
          <w:bCs/>
        </w:rPr>
      </w:pPr>
      <w:r w:rsidRPr="00D50E91">
        <w:rPr>
          <w:b/>
          <w:bCs/>
        </w:rPr>
        <w:t>§</w:t>
      </w:r>
    </w:p>
    <w:p w:rsidR="00C9769F" w:rsidRPr="00D50E91" w:rsidRDefault="00C9769F" w:rsidP="00C9769F">
      <w:pPr>
        <w:autoSpaceDE w:val="0"/>
        <w:autoSpaceDN w:val="0"/>
        <w:adjustRightInd w:val="0"/>
        <w:jc w:val="both"/>
      </w:pPr>
    </w:p>
    <w:p w:rsidR="00C9769F" w:rsidRPr="00D50E91" w:rsidRDefault="00C9769F" w:rsidP="00C9769F">
      <w:pPr>
        <w:autoSpaceDE w:val="0"/>
        <w:autoSpaceDN w:val="0"/>
        <w:adjustRightInd w:val="0"/>
        <w:jc w:val="both"/>
      </w:pPr>
      <w:r w:rsidRPr="00D50E91">
        <w:t>(1) Az R. 16. (2) bekezdés a) pontjába helyébe a következő rendelkezés lép:</w:t>
      </w:r>
    </w:p>
    <w:p w:rsidR="00C9769F" w:rsidRPr="00D50E91" w:rsidRDefault="00C9769F" w:rsidP="00C9769F">
      <w:pPr>
        <w:autoSpaceDE w:val="0"/>
        <w:autoSpaceDN w:val="0"/>
        <w:adjustRightInd w:val="0"/>
        <w:jc w:val="both"/>
      </w:pPr>
    </w:p>
    <w:p w:rsidR="00C9769F" w:rsidRPr="00D50E91" w:rsidRDefault="00C9769F" w:rsidP="00C9769F">
      <w:pPr>
        <w:autoSpaceDE w:val="0"/>
        <w:autoSpaceDN w:val="0"/>
        <w:adjustRightInd w:val="0"/>
        <w:jc w:val="both"/>
        <w:rPr>
          <w:i/>
        </w:rPr>
      </w:pPr>
      <w:r w:rsidRPr="00D50E91">
        <w:rPr>
          <w:i/>
        </w:rPr>
        <w:t>[Az áthidalók tűzvédelmi osztály</w:t>
      </w:r>
      <w:r w:rsidR="003528A8">
        <w:rPr>
          <w:i/>
        </w:rPr>
        <w:t>-</w:t>
      </w:r>
      <w:r w:rsidRPr="00D50E91">
        <w:rPr>
          <w:i/>
        </w:rPr>
        <w:t xml:space="preserve"> és tűzállóságiteljesítmény</w:t>
      </w:r>
      <w:r w:rsidR="003528A8">
        <w:rPr>
          <w:i/>
        </w:rPr>
        <w:t>-</w:t>
      </w:r>
      <w:r w:rsidRPr="00D50E91">
        <w:rPr>
          <w:i/>
        </w:rPr>
        <w:t>követelménye]</w:t>
      </w:r>
    </w:p>
    <w:p w:rsidR="00C9769F" w:rsidRPr="00D50E91" w:rsidRDefault="00C9769F" w:rsidP="00C9769F">
      <w:pPr>
        <w:autoSpaceDE w:val="0"/>
        <w:autoSpaceDN w:val="0"/>
        <w:adjustRightInd w:val="0"/>
        <w:jc w:val="both"/>
      </w:pPr>
      <w:r w:rsidRPr="00D50E91">
        <w:t>„a) tűzfalban, tűzgátló falban és tűzgátló válaszfalban történő alkalmazás esetén y R x, ahol y megegyezik a fogadó falra előírt tűzvédelmi osztály követelmény, x megegyezik a fogadó falra előírt tűzállósági követelmény időtartamával,”</w:t>
      </w:r>
    </w:p>
    <w:p w:rsidR="00C9769F" w:rsidRPr="00D50E91" w:rsidRDefault="00C9769F" w:rsidP="00C9769F">
      <w:pPr>
        <w:autoSpaceDE w:val="0"/>
        <w:autoSpaceDN w:val="0"/>
        <w:adjustRightInd w:val="0"/>
        <w:jc w:val="both"/>
      </w:pPr>
    </w:p>
    <w:p w:rsidR="00C9769F" w:rsidRPr="00D50E91" w:rsidRDefault="00C9769F" w:rsidP="00C9769F">
      <w:pPr>
        <w:autoSpaceDE w:val="0"/>
        <w:autoSpaceDN w:val="0"/>
        <w:adjustRightInd w:val="0"/>
        <w:jc w:val="both"/>
      </w:pPr>
      <w:r w:rsidRPr="00D50E91">
        <w:t>(2) Az R. 16. § (6) bekezdése helyébe a következő rendelkezés lép:</w:t>
      </w:r>
    </w:p>
    <w:p w:rsidR="00C9769F" w:rsidRPr="00D50E91" w:rsidRDefault="00C9769F" w:rsidP="00C9769F">
      <w:pPr>
        <w:autoSpaceDE w:val="0"/>
        <w:autoSpaceDN w:val="0"/>
        <w:adjustRightInd w:val="0"/>
        <w:jc w:val="both"/>
      </w:pPr>
    </w:p>
    <w:p w:rsidR="00C9769F" w:rsidRPr="00D50E91" w:rsidRDefault="00C9769F" w:rsidP="00C9769F">
      <w:pPr>
        <w:autoSpaceDE w:val="0"/>
        <w:autoSpaceDN w:val="0"/>
        <w:adjustRightInd w:val="0"/>
        <w:jc w:val="both"/>
      </w:pPr>
      <w:r w:rsidRPr="00D50E91">
        <w:t>„(6) Az egyes építményszerkezetekre vonatkozó követelményeket az építményszerkezetek építményen belül betöltött statikai szerepének, a teherátadás rendjének, az építményszerkezet tönkremenetele által más építményszerkezetre gyakorolt hatások figyelembevételével kell meghatározni. Egy építményszerkezet alátámasztására, gyámolítására, függesztésére, merevítésére nem alkalmazható az adott szerkezet tűzállósági követelményénél kisebb tűzállóságú szerkezet. Az épület, illetve az épület egy dilatációs egységének globális merevségét biztosító építményszerkezetek, így különösen a pillérek, födémelemek, keretszerkezetek, merevítések elemei mindegyikére a merevítésben résztvevő, legnagyobb tűzállósági követelményű szerkezeti elem tűzállósági teljesítményét kell alkalmazni.”</w:t>
      </w:r>
    </w:p>
    <w:p w:rsidR="00C9769F" w:rsidRPr="00D50E91" w:rsidRDefault="00C9769F" w:rsidP="00C9769F">
      <w:pPr>
        <w:autoSpaceDE w:val="0"/>
        <w:autoSpaceDN w:val="0"/>
        <w:adjustRightInd w:val="0"/>
        <w:jc w:val="both"/>
      </w:pPr>
    </w:p>
    <w:p w:rsidR="00C9769F" w:rsidRPr="00D50E91" w:rsidRDefault="00C9769F" w:rsidP="00C9769F">
      <w:pPr>
        <w:autoSpaceDE w:val="0"/>
        <w:autoSpaceDN w:val="0"/>
        <w:adjustRightInd w:val="0"/>
        <w:jc w:val="both"/>
      </w:pPr>
      <w:r w:rsidRPr="00D50E91">
        <w:t>(3) Az R. 16. §</w:t>
      </w:r>
      <w:r w:rsidR="003528A8">
        <w:t>-</w:t>
      </w:r>
      <w:r w:rsidRPr="00D50E91">
        <w:t>a a következő (7) bekezdéssel egészül ki:</w:t>
      </w:r>
    </w:p>
    <w:p w:rsidR="00C9769F" w:rsidRPr="00D50E91" w:rsidRDefault="00C9769F" w:rsidP="00C9769F">
      <w:pPr>
        <w:autoSpaceDE w:val="0"/>
        <w:autoSpaceDN w:val="0"/>
        <w:adjustRightInd w:val="0"/>
        <w:jc w:val="both"/>
      </w:pPr>
    </w:p>
    <w:p w:rsidR="00C9769F" w:rsidRPr="00D50E91" w:rsidRDefault="00C9769F" w:rsidP="00C9769F">
      <w:pPr>
        <w:autoSpaceDE w:val="0"/>
        <w:autoSpaceDN w:val="0"/>
        <w:adjustRightInd w:val="0"/>
        <w:jc w:val="both"/>
      </w:pPr>
      <w:r w:rsidRPr="00D50E91">
        <w:t>„(7) A legfeljebb 4 szintes, NAK vagy AK mértékadó kockázati osztályba tartozó épületek tartószerkezete létesíthető az elvárt tűzállósági teljesítménynek megfelelő faanyagú szerkezetből, ha annak tűzvédelmi osztálya legalább D</w:t>
      </w:r>
      <w:r w:rsidR="003528A8">
        <w:t>-</w:t>
      </w:r>
      <w:r w:rsidRPr="00D50E91">
        <w:t>s2, d0 és a szerkezeti kapcsolatok elvárt tűzállósági teljesítményét biztosítják.”</w:t>
      </w:r>
    </w:p>
    <w:p w:rsidR="00C9769F" w:rsidRPr="00D50E91" w:rsidRDefault="00C9769F" w:rsidP="00C9769F">
      <w:pPr>
        <w:autoSpaceDE w:val="0"/>
        <w:autoSpaceDN w:val="0"/>
        <w:adjustRightInd w:val="0"/>
        <w:jc w:val="both"/>
      </w:pPr>
    </w:p>
    <w:p w:rsidR="00C9769F" w:rsidRPr="00D50E91" w:rsidRDefault="00C9769F" w:rsidP="00C9769F">
      <w:pPr>
        <w:keepNext/>
        <w:numPr>
          <w:ilvl w:val="0"/>
          <w:numId w:val="2"/>
        </w:numPr>
        <w:spacing w:line="276" w:lineRule="auto"/>
        <w:ind w:left="0" w:firstLine="0"/>
        <w:jc w:val="center"/>
        <w:outlineLvl w:val="1"/>
        <w:rPr>
          <w:b/>
          <w:bCs/>
        </w:rPr>
      </w:pPr>
      <w:r w:rsidRPr="00D50E91">
        <w:rPr>
          <w:b/>
          <w:bCs/>
        </w:rPr>
        <w:t>§</w:t>
      </w:r>
    </w:p>
    <w:p w:rsidR="00C9769F" w:rsidRPr="00D50E91" w:rsidRDefault="00C9769F" w:rsidP="00C9769F">
      <w:pPr>
        <w:autoSpaceDE w:val="0"/>
        <w:autoSpaceDN w:val="0"/>
        <w:adjustRightInd w:val="0"/>
        <w:jc w:val="both"/>
      </w:pPr>
    </w:p>
    <w:p w:rsidR="00C9769F" w:rsidRPr="00D50E91" w:rsidRDefault="00C9769F" w:rsidP="00C9769F">
      <w:pPr>
        <w:autoSpaceDE w:val="0"/>
        <w:autoSpaceDN w:val="0"/>
        <w:adjustRightInd w:val="0"/>
        <w:jc w:val="both"/>
      </w:pPr>
      <w:r w:rsidRPr="00D50E91">
        <w:t>(1) Az R. 17. § (1) bekezdés a) és b) pontja helyébe következő rendelkezések lépnek:</w:t>
      </w:r>
    </w:p>
    <w:p w:rsidR="00C9769F" w:rsidRPr="00D50E91" w:rsidRDefault="00C9769F" w:rsidP="00C9769F">
      <w:pPr>
        <w:autoSpaceDE w:val="0"/>
        <w:autoSpaceDN w:val="0"/>
        <w:adjustRightInd w:val="0"/>
        <w:jc w:val="both"/>
      </w:pPr>
    </w:p>
    <w:p w:rsidR="00C9769F" w:rsidRPr="00D50E91" w:rsidRDefault="00C9769F" w:rsidP="00C9769F">
      <w:pPr>
        <w:autoSpaceDE w:val="0"/>
        <w:autoSpaceDN w:val="0"/>
        <w:adjustRightInd w:val="0"/>
        <w:jc w:val="both"/>
        <w:rPr>
          <w:i/>
        </w:rPr>
      </w:pPr>
      <w:r w:rsidRPr="00D50E91">
        <w:rPr>
          <w:i/>
        </w:rPr>
        <w:t>[A tűz átterjedését meg kell gátolni]</w:t>
      </w:r>
    </w:p>
    <w:p w:rsidR="00C9769F" w:rsidRPr="00D50E91" w:rsidRDefault="00C9769F" w:rsidP="00C9769F">
      <w:pPr>
        <w:autoSpaceDE w:val="0"/>
        <w:autoSpaceDN w:val="0"/>
        <w:adjustRightInd w:val="0"/>
        <w:jc w:val="both"/>
      </w:pPr>
      <w:r w:rsidRPr="00D50E91">
        <w:lastRenderedPageBreak/>
        <w:t>„a) az azonos vagy szomszédos telken álló, szomszédos épületek között, továbbá a nem szomszédos telken álló épület irányába,</w:t>
      </w:r>
    </w:p>
    <w:p w:rsidR="00C9769F" w:rsidRPr="00D50E91" w:rsidRDefault="00C9769F" w:rsidP="00C9769F">
      <w:pPr>
        <w:autoSpaceDE w:val="0"/>
        <w:autoSpaceDN w:val="0"/>
        <w:adjustRightInd w:val="0"/>
        <w:jc w:val="both"/>
      </w:pPr>
      <w:r w:rsidRPr="00D50E91">
        <w:t>b) a szabadtéri tárolóterület tárolási egysége és a szomszédos épület, speciális építmény között,”</w:t>
      </w:r>
    </w:p>
    <w:p w:rsidR="00C9769F" w:rsidRPr="00D50E91" w:rsidRDefault="00C9769F" w:rsidP="00C9769F">
      <w:pPr>
        <w:autoSpaceDE w:val="0"/>
        <w:autoSpaceDN w:val="0"/>
        <w:adjustRightInd w:val="0"/>
        <w:jc w:val="both"/>
      </w:pPr>
    </w:p>
    <w:p w:rsidR="00C9769F" w:rsidRPr="00D50E91" w:rsidRDefault="00C9769F" w:rsidP="00C9769F">
      <w:pPr>
        <w:autoSpaceDE w:val="0"/>
        <w:autoSpaceDN w:val="0"/>
        <w:adjustRightInd w:val="0"/>
        <w:jc w:val="both"/>
      </w:pPr>
      <w:r w:rsidRPr="00D50E91">
        <w:t>(2) Az R. 17. § (3) és (4) bekezdése helyébe a következő rendelkezések lépnek:</w:t>
      </w:r>
    </w:p>
    <w:p w:rsidR="00C9769F" w:rsidRPr="00D50E91" w:rsidRDefault="00C9769F" w:rsidP="00C9769F">
      <w:pPr>
        <w:autoSpaceDE w:val="0"/>
        <w:autoSpaceDN w:val="0"/>
        <w:adjustRightInd w:val="0"/>
        <w:jc w:val="both"/>
      </w:pPr>
    </w:p>
    <w:p w:rsidR="00C9769F" w:rsidRPr="00D50E91" w:rsidRDefault="00C9769F" w:rsidP="00C9769F">
      <w:pPr>
        <w:autoSpaceDE w:val="0"/>
        <w:autoSpaceDN w:val="0"/>
        <w:adjustRightInd w:val="0"/>
        <w:jc w:val="both"/>
      </w:pPr>
      <w:r w:rsidRPr="00D50E91">
        <w:t>„(3) Nem kell az azonos telken álló, szomszédos épület és speciális építmény közötti, valamint a speciális építmények közötti tűzterjedés elleni védelemről gondoskodni, ha a (2) bekezdésben foglalt feltételek az épület és a speciális építmény, valamint a speciális építmények vonatkozásában teljesülnek.</w:t>
      </w:r>
    </w:p>
    <w:p w:rsidR="00C9769F" w:rsidRPr="00D50E91" w:rsidRDefault="00C9769F" w:rsidP="00C9769F">
      <w:pPr>
        <w:autoSpaceDE w:val="0"/>
        <w:autoSpaceDN w:val="0"/>
        <w:adjustRightInd w:val="0"/>
        <w:jc w:val="both"/>
      </w:pPr>
    </w:p>
    <w:p w:rsidR="00C9769F" w:rsidRPr="00D50E91" w:rsidRDefault="00C9769F" w:rsidP="00C9769F">
      <w:pPr>
        <w:autoSpaceDE w:val="0"/>
        <w:autoSpaceDN w:val="0"/>
        <w:adjustRightInd w:val="0"/>
        <w:jc w:val="both"/>
      </w:pPr>
      <w:r w:rsidRPr="00D50E91">
        <w:t>(4) Nem kell az azonos telken álló épület és szabadtéri tárolóterület tárolási egysége közötti tűzterjedés elleni védelemről gondoskodni, ha a szabadtéri tárolóterület vagy annak része és az épület vagy annak része egyetlen tűzszakaszként kialakítható. Az épület vagy épületrész tűzszakaszához akkor tartozhat a szabadtéri tárolóterület tárolási egysége, ha a tárolási egység tárolóhelyiségként való kialakítása esetén a tűzszakasz részét képezhetné.”</w:t>
      </w:r>
    </w:p>
    <w:p w:rsidR="00C9769F" w:rsidRPr="00D50E91" w:rsidRDefault="00C9769F" w:rsidP="00C9769F">
      <w:pPr>
        <w:autoSpaceDE w:val="0"/>
        <w:autoSpaceDN w:val="0"/>
        <w:adjustRightInd w:val="0"/>
        <w:jc w:val="both"/>
      </w:pPr>
    </w:p>
    <w:p w:rsidR="00C9769F" w:rsidRPr="00D50E91" w:rsidRDefault="00C9769F" w:rsidP="00C9769F">
      <w:pPr>
        <w:autoSpaceDE w:val="0"/>
        <w:autoSpaceDN w:val="0"/>
        <w:adjustRightInd w:val="0"/>
        <w:jc w:val="both"/>
      </w:pPr>
      <w:r w:rsidRPr="00D50E91">
        <w:t>(3) Az R. 17. § (5) bekezdése a következő e) ponttal egészül ki:</w:t>
      </w:r>
    </w:p>
    <w:p w:rsidR="00C9769F" w:rsidRPr="00D50E91" w:rsidRDefault="00C9769F" w:rsidP="00C9769F">
      <w:pPr>
        <w:autoSpaceDE w:val="0"/>
        <w:autoSpaceDN w:val="0"/>
        <w:adjustRightInd w:val="0"/>
        <w:jc w:val="both"/>
      </w:pPr>
    </w:p>
    <w:p w:rsidR="00C9769F" w:rsidRPr="00D50E91" w:rsidRDefault="00C9769F" w:rsidP="00C9769F">
      <w:pPr>
        <w:autoSpaceDE w:val="0"/>
        <w:autoSpaceDN w:val="0"/>
        <w:adjustRightInd w:val="0"/>
        <w:jc w:val="both"/>
        <w:rPr>
          <w:i/>
        </w:rPr>
      </w:pPr>
      <w:r w:rsidRPr="00D50E91">
        <w:rPr>
          <w:i/>
        </w:rPr>
        <w:t>[Az (1) bekezdés szerinti esetekben a tűzterjedés elleni védelem biztosítható]</w:t>
      </w:r>
    </w:p>
    <w:p w:rsidR="00C9769F" w:rsidRPr="00D50E91" w:rsidRDefault="00C9769F" w:rsidP="00C9769F">
      <w:pPr>
        <w:autoSpaceDE w:val="0"/>
        <w:autoSpaceDN w:val="0"/>
        <w:adjustRightInd w:val="0"/>
        <w:jc w:val="both"/>
      </w:pPr>
      <w:r w:rsidRPr="00D50E91">
        <w:t>„e) a nem szomszédos telken, az előírt tűztávolságon belül álló épület irányába a tűzvédelmi hatósággal egyeztetett módon.”</w:t>
      </w:r>
    </w:p>
    <w:p w:rsidR="00C9769F" w:rsidRPr="00D50E91" w:rsidRDefault="00C9769F" w:rsidP="00C9769F">
      <w:pPr>
        <w:autoSpaceDE w:val="0"/>
        <w:autoSpaceDN w:val="0"/>
        <w:adjustRightInd w:val="0"/>
        <w:jc w:val="both"/>
      </w:pPr>
    </w:p>
    <w:p w:rsidR="00C9769F" w:rsidRPr="00D50E91" w:rsidRDefault="00C9769F" w:rsidP="00C9769F">
      <w:pPr>
        <w:keepNext/>
        <w:numPr>
          <w:ilvl w:val="0"/>
          <w:numId w:val="2"/>
        </w:numPr>
        <w:spacing w:line="276" w:lineRule="auto"/>
        <w:ind w:left="0" w:firstLine="0"/>
        <w:jc w:val="center"/>
        <w:outlineLvl w:val="1"/>
        <w:rPr>
          <w:b/>
          <w:bCs/>
        </w:rPr>
      </w:pPr>
      <w:r w:rsidRPr="00D50E91">
        <w:rPr>
          <w:b/>
          <w:bCs/>
        </w:rPr>
        <w:t>§</w:t>
      </w:r>
    </w:p>
    <w:p w:rsidR="00C9769F" w:rsidRPr="00D50E91" w:rsidRDefault="00C9769F" w:rsidP="00C9769F">
      <w:pPr>
        <w:autoSpaceDE w:val="0"/>
        <w:autoSpaceDN w:val="0"/>
        <w:adjustRightInd w:val="0"/>
        <w:jc w:val="both"/>
      </w:pPr>
    </w:p>
    <w:p w:rsidR="00C9769F" w:rsidRPr="00D50E91" w:rsidRDefault="00C9769F" w:rsidP="00C9769F">
      <w:pPr>
        <w:autoSpaceDE w:val="0"/>
        <w:autoSpaceDN w:val="0"/>
        <w:adjustRightInd w:val="0"/>
        <w:jc w:val="both"/>
      </w:pPr>
      <w:r w:rsidRPr="00D50E91">
        <w:t>Az R. 18. § (3) bekezdés a) pontja helyébe a következő rendelkezés lép:</w:t>
      </w:r>
    </w:p>
    <w:p w:rsidR="00C9769F" w:rsidRPr="00D50E91" w:rsidRDefault="00C9769F" w:rsidP="00C9769F">
      <w:pPr>
        <w:autoSpaceDE w:val="0"/>
        <w:autoSpaceDN w:val="0"/>
        <w:adjustRightInd w:val="0"/>
        <w:jc w:val="both"/>
      </w:pPr>
    </w:p>
    <w:p w:rsidR="00C9769F" w:rsidRPr="00D50E91" w:rsidRDefault="00C9769F" w:rsidP="00C9769F">
      <w:pPr>
        <w:autoSpaceDE w:val="0"/>
        <w:autoSpaceDN w:val="0"/>
        <w:adjustRightInd w:val="0"/>
        <w:jc w:val="both"/>
        <w:rPr>
          <w:i/>
        </w:rPr>
      </w:pPr>
      <w:r w:rsidRPr="00D50E91">
        <w:rPr>
          <w:i/>
        </w:rPr>
        <w:t>[Az épülettől tartandó tűztávolságot]</w:t>
      </w:r>
    </w:p>
    <w:p w:rsidR="00C9769F" w:rsidRPr="00D50E91" w:rsidRDefault="00C9769F" w:rsidP="00C9769F">
      <w:pPr>
        <w:autoSpaceDE w:val="0"/>
        <w:autoSpaceDN w:val="0"/>
        <w:adjustRightInd w:val="0"/>
        <w:jc w:val="both"/>
      </w:pPr>
      <w:r w:rsidRPr="00D50E91">
        <w:t>„a) az épület homlokzatának, továbbá bármely, a homlokzati síkból kiugró a tűzterjedésben szerepet játszó épületrésznek alaprajzi vetületétől,”</w:t>
      </w:r>
    </w:p>
    <w:p w:rsidR="00C9769F" w:rsidRPr="00D50E91" w:rsidRDefault="00C9769F" w:rsidP="00C9769F">
      <w:pPr>
        <w:autoSpaceDE w:val="0"/>
        <w:autoSpaceDN w:val="0"/>
        <w:adjustRightInd w:val="0"/>
        <w:jc w:val="both"/>
      </w:pPr>
    </w:p>
    <w:p w:rsidR="00C9769F" w:rsidRPr="00D50E91" w:rsidRDefault="00C9769F" w:rsidP="00C9769F">
      <w:pPr>
        <w:keepNext/>
        <w:numPr>
          <w:ilvl w:val="0"/>
          <w:numId w:val="2"/>
        </w:numPr>
        <w:spacing w:line="276" w:lineRule="auto"/>
        <w:ind w:left="0" w:firstLine="0"/>
        <w:jc w:val="center"/>
        <w:outlineLvl w:val="1"/>
        <w:rPr>
          <w:b/>
          <w:bCs/>
        </w:rPr>
      </w:pPr>
      <w:r w:rsidRPr="00D50E91">
        <w:rPr>
          <w:b/>
          <w:bCs/>
        </w:rPr>
        <w:t>§</w:t>
      </w:r>
    </w:p>
    <w:p w:rsidR="00C9769F" w:rsidRPr="00D50E91" w:rsidRDefault="00C9769F" w:rsidP="00C9769F">
      <w:pPr>
        <w:autoSpaceDE w:val="0"/>
        <w:autoSpaceDN w:val="0"/>
        <w:adjustRightInd w:val="0"/>
        <w:jc w:val="both"/>
      </w:pPr>
    </w:p>
    <w:p w:rsidR="00C9769F" w:rsidRPr="00D50E91" w:rsidRDefault="00C9769F" w:rsidP="00C9769F">
      <w:pPr>
        <w:autoSpaceDE w:val="0"/>
        <w:autoSpaceDN w:val="0"/>
        <w:adjustRightInd w:val="0"/>
        <w:jc w:val="both"/>
      </w:pPr>
      <w:r w:rsidRPr="00D50E91">
        <w:t>Az R. 19. § (1) bekezdés a) és b) pontja helyébe a következő rendelkezések lépnek:</w:t>
      </w:r>
    </w:p>
    <w:p w:rsidR="00C9769F" w:rsidRPr="00D50E91" w:rsidRDefault="00C9769F" w:rsidP="00C9769F">
      <w:pPr>
        <w:autoSpaceDE w:val="0"/>
        <w:autoSpaceDN w:val="0"/>
        <w:adjustRightInd w:val="0"/>
        <w:jc w:val="both"/>
      </w:pPr>
    </w:p>
    <w:p w:rsidR="00C9769F" w:rsidRPr="00D50E91" w:rsidRDefault="00C9769F" w:rsidP="00C9769F">
      <w:pPr>
        <w:autoSpaceDE w:val="0"/>
        <w:autoSpaceDN w:val="0"/>
        <w:adjustRightInd w:val="0"/>
        <w:jc w:val="both"/>
        <w:rPr>
          <w:i/>
        </w:rPr>
      </w:pPr>
      <w:r w:rsidRPr="00D50E91">
        <w:rPr>
          <w:i/>
        </w:rPr>
        <w:t>[Tűzterjedés elleni védelmet kell biztosítani]</w:t>
      </w:r>
    </w:p>
    <w:p w:rsidR="00C9769F" w:rsidRPr="00D50E91" w:rsidRDefault="00C9769F" w:rsidP="00C9769F">
      <w:pPr>
        <w:autoSpaceDE w:val="0"/>
        <w:autoSpaceDN w:val="0"/>
        <w:adjustRightInd w:val="0"/>
        <w:jc w:val="both"/>
      </w:pPr>
      <w:r w:rsidRPr="00D50E91">
        <w:t>„a) a szomszédos tűzszakaszok között, építményen belül, homlokzaton és tetőn,</w:t>
      </w:r>
    </w:p>
    <w:p w:rsidR="00C9769F" w:rsidRPr="00D50E91" w:rsidRDefault="00C9769F" w:rsidP="00C9769F">
      <w:pPr>
        <w:autoSpaceDE w:val="0"/>
        <w:autoSpaceDN w:val="0"/>
        <w:adjustRightInd w:val="0"/>
        <w:jc w:val="both"/>
      </w:pPr>
      <w:r w:rsidRPr="00D50E91">
        <w:t>b) a szomszédos kockázati egységek között, építményen belül, homlokzaton és tetőn,”</w:t>
      </w:r>
    </w:p>
    <w:p w:rsidR="00C9769F" w:rsidRPr="00D50E91" w:rsidRDefault="00C9769F" w:rsidP="00C9769F">
      <w:pPr>
        <w:autoSpaceDE w:val="0"/>
        <w:autoSpaceDN w:val="0"/>
        <w:adjustRightInd w:val="0"/>
        <w:jc w:val="both"/>
      </w:pPr>
    </w:p>
    <w:p w:rsidR="00C9769F" w:rsidRPr="00D50E91" w:rsidRDefault="00C9769F" w:rsidP="00C9769F">
      <w:pPr>
        <w:keepNext/>
        <w:numPr>
          <w:ilvl w:val="0"/>
          <w:numId w:val="2"/>
        </w:numPr>
        <w:spacing w:line="276" w:lineRule="auto"/>
        <w:ind w:left="0" w:firstLine="0"/>
        <w:jc w:val="center"/>
        <w:outlineLvl w:val="1"/>
        <w:rPr>
          <w:b/>
          <w:bCs/>
        </w:rPr>
      </w:pPr>
      <w:r w:rsidRPr="00D50E91">
        <w:rPr>
          <w:b/>
          <w:bCs/>
        </w:rPr>
        <w:t>§</w:t>
      </w:r>
    </w:p>
    <w:p w:rsidR="00C9769F" w:rsidRPr="00D50E91" w:rsidRDefault="00C9769F" w:rsidP="00C9769F">
      <w:pPr>
        <w:autoSpaceDE w:val="0"/>
        <w:autoSpaceDN w:val="0"/>
        <w:adjustRightInd w:val="0"/>
        <w:jc w:val="both"/>
      </w:pPr>
    </w:p>
    <w:p w:rsidR="00C9769F" w:rsidRPr="00D50E91" w:rsidRDefault="00C9769F" w:rsidP="00C9769F">
      <w:pPr>
        <w:autoSpaceDE w:val="0"/>
        <w:autoSpaceDN w:val="0"/>
        <w:adjustRightInd w:val="0"/>
        <w:jc w:val="both"/>
      </w:pPr>
      <w:r w:rsidRPr="00D50E91">
        <w:t>Az R. 20. §</w:t>
      </w:r>
      <w:r w:rsidR="003528A8">
        <w:t>-</w:t>
      </w:r>
      <w:r w:rsidRPr="00D50E91">
        <w:t>a helyébe a következő rendelkezés lép:</w:t>
      </w:r>
    </w:p>
    <w:p w:rsidR="00C9769F" w:rsidRPr="00D50E91" w:rsidRDefault="00C9769F" w:rsidP="00C9769F">
      <w:pPr>
        <w:autoSpaceDE w:val="0"/>
        <w:autoSpaceDN w:val="0"/>
        <w:adjustRightInd w:val="0"/>
        <w:jc w:val="both"/>
      </w:pPr>
    </w:p>
    <w:p w:rsidR="00C9769F" w:rsidRPr="00D50E91" w:rsidRDefault="00C9769F" w:rsidP="00C9769F">
      <w:pPr>
        <w:autoSpaceDE w:val="0"/>
        <w:autoSpaceDN w:val="0"/>
        <w:adjustRightInd w:val="0"/>
        <w:jc w:val="both"/>
      </w:pPr>
      <w:r w:rsidRPr="00D50E91">
        <w:t>„20. § (1) Legalább tűzgátló válaszfallal, vagy ezt helyettesítő beépített tűzterjedésgátló berendezéssel kell elválasztani</w:t>
      </w:r>
    </w:p>
    <w:p w:rsidR="00C9769F" w:rsidRPr="00D50E91" w:rsidRDefault="00C9769F" w:rsidP="00C9769F">
      <w:pPr>
        <w:autoSpaceDE w:val="0"/>
        <w:autoSpaceDN w:val="0"/>
        <w:adjustRightInd w:val="0"/>
        <w:jc w:val="both"/>
      </w:pPr>
      <w:r w:rsidRPr="00D50E91">
        <w:t>a) az önálló rendeltetési egységet a szomszédos helyiségtől,</w:t>
      </w:r>
    </w:p>
    <w:p w:rsidR="00C9769F" w:rsidRPr="00D50E91" w:rsidRDefault="00C9769F" w:rsidP="00C9769F">
      <w:pPr>
        <w:autoSpaceDE w:val="0"/>
        <w:autoSpaceDN w:val="0"/>
        <w:adjustRightInd w:val="0"/>
        <w:jc w:val="both"/>
      </w:pPr>
      <w:r w:rsidRPr="00D50E91">
        <w:t>b) a menekülési útvonalat a szomszédos helyiségtől,</w:t>
      </w:r>
    </w:p>
    <w:p w:rsidR="00C9769F" w:rsidRPr="00D50E91" w:rsidRDefault="00C9769F" w:rsidP="00C9769F">
      <w:pPr>
        <w:autoSpaceDE w:val="0"/>
        <w:autoSpaceDN w:val="0"/>
        <w:adjustRightInd w:val="0"/>
        <w:jc w:val="both"/>
      </w:pPr>
      <w:r w:rsidRPr="00D50E91">
        <w:t>c) azt a helyiséget a szomszédos helyiségtől, amely esetében e rendelet előírja.</w:t>
      </w:r>
    </w:p>
    <w:p w:rsidR="00C9769F" w:rsidRPr="00D50E91" w:rsidRDefault="00C9769F" w:rsidP="00C9769F">
      <w:pPr>
        <w:autoSpaceDE w:val="0"/>
        <w:autoSpaceDN w:val="0"/>
        <w:adjustRightInd w:val="0"/>
        <w:jc w:val="both"/>
      </w:pPr>
    </w:p>
    <w:p w:rsidR="00C9769F" w:rsidRPr="00D50E91" w:rsidRDefault="00C9769F" w:rsidP="00C9769F">
      <w:pPr>
        <w:autoSpaceDE w:val="0"/>
        <w:autoSpaceDN w:val="0"/>
        <w:adjustRightInd w:val="0"/>
        <w:jc w:val="both"/>
      </w:pPr>
      <w:r w:rsidRPr="00D50E91">
        <w:lastRenderedPageBreak/>
        <w:t>(2) Az (1) bekezdés szerinti tűzgátló válaszfalban alkalmazható tűzállósági teljesítmény nélküli, üvegezett falszerkezet vagy üvegfal, amelynek összesített felülete</w:t>
      </w:r>
    </w:p>
    <w:p w:rsidR="00C9769F" w:rsidRPr="00D50E91" w:rsidRDefault="00C9769F" w:rsidP="00C9769F">
      <w:pPr>
        <w:autoSpaceDE w:val="0"/>
        <w:autoSpaceDN w:val="0"/>
        <w:adjustRightInd w:val="0"/>
        <w:jc w:val="both"/>
      </w:pPr>
      <w:r w:rsidRPr="00D50E91">
        <w:t>a) beépített tűzoltó berendezéssel védett tűzszakaszon belüli válaszfal esetén korlátozás nélküli,</w:t>
      </w:r>
    </w:p>
    <w:p w:rsidR="00C9769F" w:rsidRPr="00D50E91" w:rsidRDefault="00C9769F" w:rsidP="00C9769F">
      <w:pPr>
        <w:autoSpaceDE w:val="0"/>
        <w:autoSpaceDN w:val="0"/>
        <w:adjustRightInd w:val="0"/>
        <w:jc w:val="both"/>
      </w:pPr>
      <w:r w:rsidRPr="00D50E91">
        <w:t>b) egyéb esetben nem haladja meg az elválasztó falfelület 20 %</w:t>
      </w:r>
      <w:r w:rsidR="003528A8">
        <w:t>-</w:t>
      </w:r>
      <w:r w:rsidRPr="00D50E91">
        <w:t>t.</w:t>
      </w:r>
    </w:p>
    <w:p w:rsidR="00C9769F" w:rsidRPr="00D50E91" w:rsidRDefault="00C9769F" w:rsidP="00C9769F">
      <w:pPr>
        <w:autoSpaceDE w:val="0"/>
        <w:autoSpaceDN w:val="0"/>
        <w:adjustRightInd w:val="0"/>
        <w:jc w:val="both"/>
      </w:pPr>
    </w:p>
    <w:p w:rsidR="00C9769F" w:rsidRPr="00D50E91" w:rsidRDefault="00C9769F" w:rsidP="00C9769F">
      <w:pPr>
        <w:autoSpaceDE w:val="0"/>
        <w:autoSpaceDN w:val="0"/>
        <w:adjustRightInd w:val="0"/>
        <w:jc w:val="both"/>
      </w:pPr>
      <w:r w:rsidRPr="00D50E91">
        <w:t>(3) A (2) bekezdés szerinti üvegezett falszerkezet, üvegfal akkor alkalmazható menekülési útvonalat képező fedett átriumban, ha az átriumot befogadó tűzszakasz teljes területét beépített tűzoltó berendezés védi és a homlokzati tűzterjedés elleni gát követelményei teljesülnek.”</w:t>
      </w:r>
    </w:p>
    <w:p w:rsidR="00C9769F" w:rsidRPr="00D50E91" w:rsidRDefault="00C9769F" w:rsidP="00C9769F">
      <w:pPr>
        <w:autoSpaceDE w:val="0"/>
        <w:autoSpaceDN w:val="0"/>
        <w:adjustRightInd w:val="0"/>
        <w:jc w:val="both"/>
      </w:pPr>
    </w:p>
    <w:p w:rsidR="00C9769F" w:rsidRPr="00D50E91" w:rsidRDefault="00C9769F" w:rsidP="00C9769F">
      <w:pPr>
        <w:keepNext/>
        <w:numPr>
          <w:ilvl w:val="0"/>
          <w:numId w:val="2"/>
        </w:numPr>
        <w:spacing w:line="276" w:lineRule="auto"/>
        <w:ind w:left="0" w:firstLine="0"/>
        <w:jc w:val="center"/>
        <w:outlineLvl w:val="1"/>
        <w:rPr>
          <w:b/>
          <w:bCs/>
        </w:rPr>
      </w:pPr>
      <w:r w:rsidRPr="00D50E91">
        <w:rPr>
          <w:b/>
          <w:bCs/>
        </w:rPr>
        <w:t>§</w:t>
      </w:r>
    </w:p>
    <w:p w:rsidR="00C9769F" w:rsidRPr="00D50E91" w:rsidRDefault="00C9769F" w:rsidP="00C9769F">
      <w:pPr>
        <w:autoSpaceDE w:val="0"/>
        <w:autoSpaceDN w:val="0"/>
        <w:adjustRightInd w:val="0"/>
        <w:jc w:val="both"/>
      </w:pPr>
    </w:p>
    <w:p w:rsidR="00C9769F" w:rsidRPr="00D50E91" w:rsidRDefault="00C9769F" w:rsidP="00C9769F">
      <w:pPr>
        <w:autoSpaceDE w:val="0"/>
        <w:autoSpaceDN w:val="0"/>
        <w:adjustRightInd w:val="0"/>
        <w:jc w:val="both"/>
      </w:pPr>
      <w:r w:rsidRPr="00D50E91">
        <w:t>Az R. 21. § (3) bekezdése helyébe a következő rendelkezés lép:</w:t>
      </w:r>
    </w:p>
    <w:p w:rsidR="00C9769F" w:rsidRPr="00D50E91" w:rsidRDefault="00C9769F" w:rsidP="00C9769F">
      <w:pPr>
        <w:autoSpaceDE w:val="0"/>
        <w:autoSpaceDN w:val="0"/>
        <w:adjustRightInd w:val="0"/>
        <w:jc w:val="both"/>
      </w:pPr>
    </w:p>
    <w:p w:rsidR="00C9769F" w:rsidRPr="00D50E91" w:rsidRDefault="00C9769F" w:rsidP="00C9769F">
      <w:pPr>
        <w:autoSpaceDE w:val="0"/>
        <w:autoSpaceDN w:val="0"/>
        <w:adjustRightInd w:val="0"/>
        <w:jc w:val="both"/>
      </w:pPr>
      <w:r w:rsidRPr="00D50E91">
        <w:t>„(3) A szabadtéri tárolóterület tárolási egységeiből kialakított tűzszakasz megengedett legnagyobb kiterjedése</w:t>
      </w:r>
    </w:p>
    <w:p w:rsidR="00C9769F" w:rsidRPr="00D50E91" w:rsidRDefault="00C9769F" w:rsidP="00C9769F">
      <w:pPr>
        <w:autoSpaceDE w:val="0"/>
        <w:autoSpaceDN w:val="0"/>
        <w:adjustRightInd w:val="0"/>
        <w:jc w:val="both"/>
      </w:pPr>
      <w:r w:rsidRPr="00D50E91">
        <w:t>a) kizárólag nem tűzveszélyes osztályba tartozó anyag, ilyen anyagokból készített termék esetén, ha azt éghető anyagú csomagolás, tárolóeszköz nélkül tárolják, korlátlan,</w:t>
      </w:r>
    </w:p>
    <w:p w:rsidR="00C9769F" w:rsidRPr="00D50E91" w:rsidRDefault="00C9769F" w:rsidP="00C9769F">
      <w:pPr>
        <w:autoSpaceDE w:val="0"/>
        <w:autoSpaceDN w:val="0"/>
        <w:adjustRightInd w:val="0"/>
        <w:jc w:val="both"/>
      </w:pPr>
      <w:r w:rsidRPr="00D50E91">
        <w:t>b) nem tűzveszélyes osztályba tartozó anyag, ilyen anyagokból készített termék esetén, ha azt éghető anyagú csomagolással vagy éghető anyagú tárolóeszköz alkalmazásával tárolják, 4000 m</w:t>
      </w:r>
      <w:r w:rsidRPr="00D50E91">
        <w:rPr>
          <w:vertAlign w:val="superscript"/>
        </w:rPr>
        <w:t>2</w:t>
      </w:r>
      <w:r w:rsidRPr="00D50E91">
        <w:t>,</w:t>
      </w:r>
    </w:p>
    <w:p w:rsidR="00C9769F" w:rsidRPr="00D50E91" w:rsidRDefault="00C9769F" w:rsidP="00C9769F">
      <w:pPr>
        <w:autoSpaceDE w:val="0"/>
        <w:autoSpaceDN w:val="0"/>
        <w:adjustRightInd w:val="0"/>
        <w:jc w:val="both"/>
      </w:pPr>
      <w:r w:rsidRPr="00D50E91">
        <w:t>c) mérsékelten tűzveszélyes osztályba tartozó anyag, ilyen anyagokból készített termék esetén a csomagolás éghetőségétől függetlenül, 2000 m</w:t>
      </w:r>
      <w:r w:rsidRPr="00D50E91">
        <w:rPr>
          <w:vertAlign w:val="superscript"/>
        </w:rPr>
        <w:t>2</w:t>
      </w:r>
      <w:r w:rsidRPr="00D50E91">
        <w:t>.”</w:t>
      </w:r>
    </w:p>
    <w:p w:rsidR="00C9769F" w:rsidRPr="00D50E91" w:rsidRDefault="00C9769F" w:rsidP="00C9769F">
      <w:pPr>
        <w:autoSpaceDE w:val="0"/>
        <w:autoSpaceDN w:val="0"/>
        <w:adjustRightInd w:val="0"/>
        <w:jc w:val="both"/>
      </w:pPr>
    </w:p>
    <w:p w:rsidR="00C9769F" w:rsidRPr="00D50E91" w:rsidRDefault="00C9769F" w:rsidP="00C9769F">
      <w:pPr>
        <w:keepNext/>
        <w:numPr>
          <w:ilvl w:val="0"/>
          <w:numId w:val="2"/>
        </w:numPr>
        <w:spacing w:line="276" w:lineRule="auto"/>
        <w:ind w:left="0" w:firstLine="0"/>
        <w:jc w:val="center"/>
        <w:outlineLvl w:val="1"/>
        <w:rPr>
          <w:b/>
          <w:bCs/>
        </w:rPr>
      </w:pPr>
      <w:r w:rsidRPr="00D50E91">
        <w:rPr>
          <w:b/>
          <w:bCs/>
        </w:rPr>
        <w:t>§</w:t>
      </w:r>
    </w:p>
    <w:p w:rsidR="00C9769F" w:rsidRPr="00D50E91" w:rsidRDefault="00C9769F" w:rsidP="00C9769F">
      <w:pPr>
        <w:autoSpaceDE w:val="0"/>
        <w:autoSpaceDN w:val="0"/>
        <w:adjustRightInd w:val="0"/>
        <w:jc w:val="both"/>
      </w:pPr>
    </w:p>
    <w:p w:rsidR="00C9769F" w:rsidRPr="00D50E91" w:rsidRDefault="00C9769F" w:rsidP="00C9769F">
      <w:pPr>
        <w:autoSpaceDE w:val="0"/>
        <w:autoSpaceDN w:val="0"/>
        <w:adjustRightInd w:val="0"/>
        <w:jc w:val="both"/>
      </w:pPr>
      <w:r w:rsidRPr="00D50E91">
        <w:t>Az R. 8. alcím címe helyébe a következő alcím cím lép:</w:t>
      </w:r>
    </w:p>
    <w:p w:rsidR="00C9769F" w:rsidRPr="00D50E91" w:rsidRDefault="00C9769F" w:rsidP="00C9769F">
      <w:pPr>
        <w:autoSpaceDE w:val="0"/>
        <w:autoSpaceDN w:val="0"/>
        <w:adjustRightInd w:val="0"/>
        <w:jc w:val="both"/>
      </w:pPr>
    </w:p>
    <w:p w:rsidR="00C9769F" w:rsidRPr="00D50E91" w:rsidRDefault="00C9769F" w:rsidP="00C9769F">
      <w:pPr>
        <w:autoSpaceDE w:val="0"/>
        <w:autoSpaceDN w:val="0"/>
        <w:adjustRightInd w:val="0"/>
        <w:jc w:val="center"/>
      </w:pPr>
      <w:r w:rsidRPr="00D50E91">
        <w:t>„</w:t>
      </w:r>
      <w:r w:rsidRPr="00D50E91">
        <w:rPr>
          <w:b/>
        </w:rPr>
        <w:t>8. Egy épületen belüli tűzszakaszok, valamint azonos telken lévő, külön tűzszakaszt képező épületek csatlakozása az épület külső szerkezetein</w:t>
      </w:r>
      <w:r w:rsidRPr="00D50E91">
        <w:t>”</w:t>
      </w:r>
    </w:p>
    <w:p w:rsidR="00C9769F" w:rsidRPr="00D50E91" w:rsidRDefault="00C9769F" w:rsidP="00C9769F">
      <w:pPr>
        <w:autoSpaceDE w:val="0"/>
        <w:autoSpaceDN w:val="0"/>
        <w:adjustRightInd w:val="0"/>
        <w:jc w:val="both"/>
      </w:pPr>
    </w:p>
    <w:p w:rsidR="00C9769F" w:rsidRPr="00D50E91" w:rsidRDefault="00C9769F" w:rsidP="00C9769F">
      <w:pPr>
        <w:keepNext/>
        <w:numPr>
          <w:ilvl w:val="0"/>
          <w:numId w:val="2"/>
        </w:numPr>
        <w:spacing w:line="276" w:lineRule="auto"/>
        <w:ind w:left="0" w:firstLine="0"/>
        <w:jc w:val="center"/>
        <w:outlineLvl w:val="1"/>
        <w:rPr>
          <w:b/>
          <w:bCs/>
        </w:rPr>
      </w:pPr>
      <w:r w:rsidRPr="00D50E91">
        <w:rPr>
          <w:b/>
          <w:bCs/>
        </w:rPr>
        <w:t>§</w:t>
      </w:r>
    </w:p>
    <w:p w:rsidR="00C9769F" w:rsidRPr="00D50E91" w:rsidRDefault="00C9769F" w:rsidP="00C9769F">
      <w:pPr>
        <w:autoSpaceDE w:val="0"/>
        <w:autoSpaceDN w:val="0"/>
        <w:adjustRightInd w:val="0"/>
        <w:jc w:val="both"/>
      </w:pPr>
    </w:p>
    <w:p w:rsidR="00C9769F" w:rsidRPr="00D50E91" w:rsidRDefault="00C9769F" w:rsidP="00C9769F">
      <w:pPr>
        <w:autoSpaceDE w:val="0"/>
        <w:autoSpaceDN w:val="0"/>
        <w:adjustRightInd w:val="0"/>
        <w:jc w:val="both"/>
      </w:pPr>
      <w:r w:rsidRPr="00D50E91">
        <w:t>Az R. 23. §</w:t>
      </w:r>
      <w:r w:rsidR="003528A8">
        <w:t>-</w:t>
      </w:r>
      <w:r w:rsidRPr="00D50E91">
        <w:t>a helyébe a következő rendelkezés lép:</w:t>
      </w:r>
    </w:p>
    <w:p w:rsidR="00C9769F" w:rsidRPr="00D50E91" w:rsidRDefault="00C9769F" w:rsidP="00C9769F">
      <w:pPr>
        <w:autoSpaceDE w:val="0"/>
        <w:autoSpaceDN w:val="0"/>
        <w:adjustRightInd w:val="0"/>
        <w:jc w:val="both"/>
      </w:pPr>
    </w:p>
    <w:p w:rsidR="00C9769F" w:rsidRPr="00D50E91" w:rsidRDefault="00C9769F" w:rsidP="00C9769F">
      <w:pPr>
        <w:autoSpaceDE w:val="0"/>
        <w:autoSpaceDN w:val="0"/>
        <w:adjustRightInd w:val="0"/>
        <w:jc w:val="both"/>
      </w:pPr>
      <w:r w:rsidRPr="00D50E91">
        <w:t>„23. § Eltérő magasságú tűzszakaszok csatlakozását tűzterjedés ellen védetten kell kialakítani.”</w:t>
      </w:r>
    </w:p>
    <w:p w:rsidR="00C9769F" w:rsidRPr="00D50E91" w:rsidRDefault="00C9769F" w:rsidP="00C9769F">
      <w:pPr>
        <w:autoSpaceDE w:val="0"/>
        <w:autoSpaceDN w:val="0"/>
        <w:adjustRightInd w:val="0"/>
        <w:jc w:val="both"/>
      </w:pPr>
    </w:p>
    <w:p w:rsidR="00C9769F" w:rsidRPr="00D50E91" w:rsidRDefault="00C9769F" w:rsidP="00C9769F">
      <w:pPr>
        <w:keepNext/>
        <w:numPr>
          <w:ilvl w:val="0"/>
          <w:numId w:val="2"/>
        </w:numPr>
        <w:spacing w:line="276" w:lineRule="auto"/>
        <w:ind w:left="0" w:firstLine="0"/>
        <w:jc w:val="center"/>
        <w:outlineLvl w:val="1"/>
        <w:rPr>
          <w:b/>
          <w:bCs/>
        </w:rPr>
      </w:pPr>
      <w:r w:rsidRPr="00D50E91">
        <w:rPr>
          <w:b/>
          <w:bCs/>
        </w:rPr>
        <w:t>§</w:t>
      </w:r>
    </w:p>
    <w:p w:rsidR="00C9769F" w:rsidRPr="00D50E91" w:rsidRDefault="00C9769F" w:rsidP="00C9769F">
      <w:pPr>
        <w:autoSpaceDE w:val="0"/>
        <w:autoSpaceDN w:val="0"/>
        <w:adjustRightInd w:val="0"/>
        <w:jc w:val="both"/>
      </w:pPr>
    </w:p>
    <w:p w:rsidR="00C9769F" w:rsidRPr="00D50E91" w:rsidRDefault="00C9769F" w:rsidP="00C9769F">
      <w:pPr>
        <w:autoSpaceDE w:val="0"/>
        <w:autoSpaceDN w:val="0"/>
        <w:adjustRightInd w:val="0"/>
        <w:jc w:val="both"/>
      </w:pPr>
      <w:r w:rsidRPr="00D50E91">
        <w:t>(1) Az R. 24. § (1) bekezdés c) pontja helyébe a következő rendelkezés lép:</w:t>
      </w:r>
    </w:p>
    <w:p w:rsidR="00C9769F" w:rsidRPr="00D50E91" w:rsidRDefault="00C9769F" w:rsidP="00C9769F">
      <w:pPr>
        <w:autoSpaceDE w:val="0"/>
        <w:autoSpaceDN w:val="0"/>
        <w:adjustRightInd w:val="0"/>
        <w:jc w:val="both"/>
      </w:pPr>
    </w:p>
    <w:p w:rsidR="00C9769F" w:rsidRPr="00D50E91" w:rsidRDefault="00C9769F" w:rsidP="00C9769F">
      <w:pPr>
        <w:autoSpaceDE w:val="0"/>
        <w:autoSpaceDN w:val="0"/>
        <w:adjustRightInd w:val="0"/>
        <w:jc w:val="both"/>
        <w:rPr>
          <w:i/>
        </w:rPr>
      </w:pPr>
      <w:r w:rsidRPr="00D50E91">
        <w:rPr>
          <w:i/>
        </w:rPr>
        <w:t>[A homlokzati tűzterjedés elleni védelem magába foglalja]</w:t>
      </w:r>
    </w:p>
    <w:p w:rsidR="00C9769F" w:rsidRPr="00D50E91" w:rsidRDefault="00C9769F" w:rsidP="00C9769F">
      <w:pPr>
        <w:autoSpaceDE w:val="0"/>
        <w:autoSpaceDN w:val="0"/>
        <w:adjustRightInd w:val="0"/>
        <w:jc w:val="both"/>
      </w:pPr>
      <w:r w:rsidRPr="00D50E91">
        <w:t>„c) a szintek között az épület külső térelhatároló falán, homlokzatán bekövetkező tűzterjedés korlátozását, az e rendelet által előírt homlokzati tűzterjedési határérték teljesítését.”</w:t>
      </w:r>
    </w:p>
    <w:p w:rsidR="00C9769F" w:rsidRPr="00D50E91" w:rsidRDefault="00C9769F" w:rsidP="00C9769F">
      <w:pPr>
        <w:autoSpaceDE w:val="0"/>
        <w:autoSpaceDN w:val="0"/>
        <w:adjustRightInd w:val="0"/>
        <w:jc w:val="both"/>
      </w:pPr>
    </w:p>
    <w:p w:rsidR="00C9769F" w:rsidRPr="00D50E91" w:rsidRDefault="00C9769F" w:rsidP="00C9769F">
      <w:pPr>
        <w:autoSpaceDE w:val="0"/>
        <w:autoSpaceDN w:val="0"/>
        <w:adjustRightInd w:val="0"/>
        <w:jc w:val="both"/>
      </w:pPr>
      <w:r w:rsidRPr="00D50E91">
        <w:t>(2) Az R. 24. § (2) bekezdés a) pontja helyébe a következő rendelkezés lép:</w:t>
      </w:r>
    </w:p>
    <w:p w:rsidR="00C9769F" w:rsidRPr="00D50E91" w:rsidRDefault="00C9769F" w:rsidP="00C9769F">
      <w:pPr>
        <w:autoSpaceDE w:val="0"/>
        <w:autoSpaceDN w:val="0"/>
        <w:adjustRightInd w:val="0"/>
        <w:jc w:val="both"/>
      </w:pPr>
    </w:p>
    <w:p w:rsidR="00C9769F" w:rsidRPr="00D50E91" w:rsidRDefault="00C9769F" w:rsidP="00C9769F">
      <w:pPr>
        <w:autoSpaceDE w:val="0"/>
        <w:autoSpaceDN w:val="0"/>
        <w:adjustRightInd w:val="0"/>
        <w:jc w:val="both"/>
        <w:rPr>
          <w:i/>
        </w:rPr>
      </w:pPr>
      <w:r w:rsidRPr="00D50E91">
        <w:rPr>
          <w:i/>
        </w:rPr>
        <w:t>[A külső térelhatároló fal azonos tűzszakaszhoz tartozó szakaszát a homlokzati tűzterjedés elleni védelem biztosításával kell kialakítani, kivéve]</w:t>
      </w:r>
    </w:p>
    <w:p w:rsidR="00C9769F" w:rsidRPr="00D50E91" w:rsidRDefault="00C9769F" w:rsidP="00C9769F">
      <w:pPr>
        <w:autoSpaceDE w:val="0"/>
        <w:autoSpaceDN w:val="0"/>
        <w:adjustRightInd w:val="0"/>
        <w:jc w:val="both"/>
      </w:pPr>
      <w:r w:rsidRPr="00D50E91">
        <w:t>„a) ipari, mezőgazdasági, tárolási alaprendeltetésű épület esetén azt a homlokzatrészt, amely az alábbi, egy önálló rendeltetési egységen belüli kétszintes helyiségcsoporthoz tartozik:</w:t>
      </w:r>
    </w:p>
    <w:p w:rsidR="00C9769F" w:rsidRPr="00D50E91" w:rsidRDefault="00C9769F" w:rsidP="00C9769F">
      <w:pPr>
        <w:autoSpaceDE w:val="0"/>
        <w:autoSpaceDN w:val="0"/>
        <w:adjustRightInd w:val="0"/>
        <w:jc w:val="both"/>
      </w:pPr>
      <w:r w:rsidRPr="00D50E91">
        <w:lastRenderedPageBreak/>
        <w:t>aa) a helyiségcsoportot a szomszédos helyiségektől legalább tűzgátló válaszfal választja el,</w:t>
      </w:r>
    </w:p>
    <w:p w:rsidR="00C9769F" w:rsidRPr="00D50E91" w:rsidRDefault="00C9769F" w:rsidP="00C9769F">
      <w:pPr>
        <w:autoSpaceDE w:val="0"/>
        <w:autoSpaceDN w:val="0"/>
        <w:adjustRightInd w:val="0"/>
        <w:jc w:val="both"/>
      </w:pPr>
      <w:r w:rsidRPr="00D50E91">
        <w:t>ab) a helyiségcsoport a kiürítés első szakaszában szabadba kiüríthető és</w:t>
      </w:r>
    </w:p>
    <w:p w:rsidR="00C9769F" w:rsidRPr="00D50E91" w:rsidRDefault="00C9769F" w:rsidP="00C9769F">
      <w:pPr>
        <w:autoSpaceDE w:val="0"/>
        <w:autoSpaceDN w:val="0"/>
        <w:adjustRightInd w:val="0"/>
        <w:jc w:val="both"/>
      </w:pPr>
      <w:r w:rsidRPr="00D50E91">
        <w:t>ac) a helyiségcsoport összesített alapterülete nem haladja meg az 500 m</w:t>
      </w:r>
      <w:r w:rsidRPr="00D50E91">
        <w:rPr>
          <w:vertAlign w:val="superscript"/>
        </w:rPr>
        <w:t>2</w:t>
      </w:r>
      <w:r w:rsidR="003528A8">
        <w:t>-</w:t>
      </w:r>
      <w:r w:rsidRPr="00D50E91">
        <w:t>t,</w:t>
      </w:r>
      <w:r w:rsidR="00EC1E8B">
        <w:t>”</w:t>
      </w:r>
    </w:p>
    <w:p w:rsidR="00C9769F" w:rsidRPr="00D50E91" w:rsidRDefault="00C9769F" w:rsidP="00C9769F">
      <w:pPr>
        <w:autoSpaceDE w:val="0"/>
        <w:autoSpaceDN w:val="0"/>
        <w:adjustRightInd w:val="0"/>
        <w:jc w:val="both"/>
      </w:pPr>
    </w:p>
    <w:p w:rsidR="00C9769F" w:rsidRPr="00D50E91" w:rsidRDefault="00C9769F" w:rsidP="00C9769F">
      <w:pPr>
        <w:autoSpaceDE w:val="0"/>
        <w:autoSpaceDN w:val="0"/>
        <w:adjustRightInd w:val="0"/>
        <w:jc w:val="both"/>
      </w:pPr>
      <w:r w:rsidRPr="00D50E91">
        <w:t>(3) Az R. 24. § (2) bekezdés e) pontja helyébe a következő rendelkezés lép:</w:t>
      </w:r>
    </w:p>
    <w:p w:rsidR="00C9769F" w:rsidRPr="00D50E91" w:rsidRDefault="00C9769F" w:rsidP="00C9769F">
      <w:pPr>
        <w:autoSpaceDE w:val="0"/>
        <w:autoSpaceDN w:val="0"/>
        <w:adjustRightInd w:val="0"/>
        <w:jc w:val="both"/>
      </w:pPr>
    </w:p>
    <w:p w:rsidR="00C9769F" w:rsidRPr="00D50E91" w:rsidRDefault="00C9769F" w:rsidP="00C9769F">
      <w:pPr>
        <w:autoSpaceDE w:val="0"/>
        <w:autoSpaceDN w:val="0"/>
        <w:adjustRightInd w:val="0"/>
        <w:jc w:val="both"/>
        <w:rPr>
          <w:i/>
        </w:rPr>
      </w:pPr>
      <w:r w:rsidRPr="00D50E91">
        <w:rPr>
          <w:i/>
        </w:rPr>
        <w:t>[A külső térelhatároló fal azonos tűzszakaszhoz tartozó szakaszát a homlokzati tűzterjedés elleni védelem biztosításával kell kialakítani, kivéve]</w:t>
      </w:r>
    </w:p>
    <w:p w:rsidR="00C9769F" w:rsidRPr="00D50E91" w:rsidRDefault="00C9769F" w:rsidP="00C9769F">
      <w:pPr>
        <w:autoSpaceDE w:val="0"/>
        <w:autoSpaceDN w:val="0"/>
        <w:adjustRightInd w:val="0"/>
        <w:jc w:val="both"/>
      </w:pPr>
      <w:r w:rsidRPr="00D50E91">
        <w:t>e) a földszinttel és legfeljebb két további építményszinttel rendelkező</w:t>
      </w:r>
    </w:p>
    <w:p w:rsidR="00C9769F" w:rsidRPr="00D50E91" w:rsidRDefault="00C9769F" w:rsidP="00C9769F">
      <w:pPr>
        <w:autoSpaceDE w:val="0"/>
        <w:autoSpaceDN w:val="0"/>
        <w:adjustRightInd w:val="0"/>
        <w:jc w:val="both"/>
      </w:pPr>
      <w:r w:rsidRPr="00D50E91">
        <w:t>ea) egy lakásos lakóépületet,</w:t>
      </w:r>
    </w:p>
    <w:p w:rsidR="00C9769F" w:rsidRPr="00D50E91" w:rsidRDefault="00C9769F" w:rsidP="00C9769F">
      <w:pPr>
        <w:autoSpaceDE w:val="0"/>
        <w:autoSpaceDN w:val="0"/>
        <w:adjustRightInd w:val="0"/>
        <w:jc w:val="both"/>
      </w:pPr>
      <w:r w:rsidRPr="00D50E91">
        <w:t>eb) szálláshelynek nem minősülő üdülőt, és</w:t>
      </w:r>
    </w:p>
    <w:p w:rsidR="00C9769F" w:rsidRPr="00D50E91" w:rsidRDefault="00C9769F" w:rsidP="00C9769F">
      <w:pPr>
        <w:autoSpaceDE w:val="0"/>
        <w:autoSpaceDN w:val="0"/>
        <w:adjustRightInd w:val="0"/>
        <w:jc w:val="both"/>
      </w:pPr>
      <w:r w:rsidRPr="00D50E91">
        <w:t>ec) egylakásos épületrészekből álló sorházat, ha a szomszédos épületrészek között a tűzterjedés elleni védelem biztosított,”</w:t>
      </w:r>
    </w:p>
    <w:p w:rsidR="00C9769F" w:rsidRPr="00D50E91" w:rsidRDefault="00C9769F" w:rsidP="00C9769F">
      <w:pPr>
        <w:autoSpaceDE w:val="0"/>
        <w:autoSpaceDN w:val="0"/>
        <w:adjustRightInd w:val="0"/>
        <w:jc w:val="both"/>
      </w:pPr>
    </w:p>
    <w:p w:rsidR="00C9769F" w:rsidRPr="00D50E91" w:rsidRDefault="00C9769F" w:rsidP="00C9769F">
      <w:pPr>
        <w:keepNext/>
        <w:numPr>
          <w:ilvl w:val="0"/>
          <w:numId w:val="2"/>
        </w:numPr>
        <w:spacing w:line="276" w:lineRule="auto"/>
        <w:ind w:left="0" w:firstLine="0"/>
        <w:jc w:val="center"/>
        <w:outlineLvl w:val="1"/>
        <w:rPr>
          <w:b/>
          <w:bCs/>
        </w:rPr>
      </w:pPr>
      <w:r w:rsidRPr="00D50E91">
        <w:rPr>
          <w:b/>
          <w:bCs/>
        </w:rPr>
        <w:t>§</w:t>
      </w:r>
    </w:p>
    <w:p w:rsidR="00C9769F" w:rsidRPr="00D50E91" w:rsidRDefault="00C9769F" w:rsidP="00C9769F">
      <w:pPr>
        <w:autoSpaceDE w:val="0"/>
        <w:autoSpaceDN w:val="0"/>
        <w:adjustRightInd w:val="0"/>
        <w:jc w:val="both"/>
      </w:pPr>
    </w:p>
    <w:p w:rsidR="00C9769F" w:rsidRPr="00D50E91" w:rsidRDefault="00C9769F" w:rsidP="00C9769F">
      <w:pPr>
        <w:autoSpaceDE w:val="0"/>
        <w:autoSpaceDN w:val="0"/>
        <w:adjustRightInd w:val="0"/>
        <w:jc w:val="both"/>
      </w:pPr>
      <w:r w:rsidRPr="00D50E91">
        <w:t>(1) Az R. 25. § (2) bekezdés a) pont ad) alpontja helyébe a következő rendelkezés lép:</w:t>
      </w:r>
    </w:p>
    <w:p w:rsidR="00C9769F" w:rsidRPr="00D50E91" w:rsidRDefault="00C9769F" w:rsidP="00C9769F">
      <w:pPr>
        <w:autoSpaceDE w:val="0"/>
        <w:autoSpaceDN w:val="0"/>
        <w:adjustRightInd w:val="0"/>
        <w:jc w:val="both"/>
      </w:pPr>
    </w:p>
    <w:p w:rsidR="00EC1E8B" w:rsidRPr="00EC1E8B" w:rsidRDefault="00EC1E8B" w:rsidP="00EC1E8B">
      <w:pPr>
        <w:autoSpaceDE w:val="0"/>
        <w:autoSpaceDN w:val="0"/>
        <w:adjustRightInd w:val="0"/>
        <w:jc w:val="both"/>
        <w:rPr>
          <w:i/>
        </w:rPr>
      </w:pPr>
      <w:r w:rsidRPr="00EC1E8B">
        <w:rPr>
          <w:i/>
        </w:rPr>
        <w:t>[ A külső térelhatároló fal burkolati, bevonati, vakolt hőszigetelő rendszere</w:t>
      </w:r>
    </w:p>
    <w:p w:rsidR="00EC1E8B" w:rsidRPr="00EC1E8B" w:rsidRDefault="00EC1E8B" w:rsidP="00EC1E8B">
      <w:pPr>
        <w:autoSpaceDE w:val="0"/>
        <w:autoSpaceDN w:val="0"/>
        <w:adjustRightInd w:val="0"/>
        <w:jc w:val="both"/>
        <w:rPr>
          <w:i/>
        </w:rPr>
      </w:pPr>
      <w:r w:rsidRPr="00EC1E8B">
        <w:rPr>
          <w:i/>
        </w:rPr>
        <w:t>csak A1 vagy A2 tűzvédelmi osztályú lehet]</w:t>
      </w:r>
    </w:p>
    <w:p w:rsidR="00C9769F" w:rsidRPr="00D50E91" w:rsidRDefault="00EC1E8B" w:rsidP="00C9769F">
      <w:pPr>
        <w:autoSpaceDE w:val="0"/>
        <w:autoSpaceDN w:val="0"/>
        <w:adjustRightInd w:val="0"/>
        <w:jc w:val="both"/>
      </w:pPr>
      <w:r w:rsidRPr="00D50E91" w:rsidDel="00EC1E8B">
        <w:rPr>
          <w:i/>
        </w:rPr>
        <w:t xml:space="preserve"> </w:t>
      </w:r>
      <w:r w:rsidR="00C9769F" w:rsidRPr="00D50E91">
        <w:t>„ad) tűzfalon a terepcsatlakozástól vagy alacsonyabb épület csatlakozási vonalától függőlegesen mért 5 méter magasságig, a lábazat és a szomszéd épület csatlakozó nyílásmentes falszerkezete által takart falfelület kivételével”</w:t>
      </w:r>
    </w:p>
    <w:p w:rsidR="00C9769F" w:rsidRPr="00D50E91" w:rsidRDefault="00C9769F" w:rsidP="00C9769F">
      <w:pPr>
        <w:autoSpaceDE w:val="0"/>
        <w:autoSpaceDN w:val="0"/>
        <w:adjustRightInd w:val="0"/>
        <w:jc w:val="both"/>
      </w:pPr>
    </w:p>
    <w:p w:rsidR="00C9769F" w:rsidRPr="00D50E91" w:rsidRDefault="00C9769F" w:rsidP="00C9769F">
      <w:pPr>
        <w:autoSpaceDE w:val="0"/>
        <w:autoSpaceDN w:val="0"/>
        <w:adjustRightInd w:val="0"/>
        <w:jc w:val="both"/>
      </w:pPr>
      <w:r w:rsidRPr="00D50E91">
        <w:t>(2) Az R. 25. § (3) és (4) bekezdése helyébe a következő rendelkezések lépnek:</w:t>
      </w:r>
    </w:p>
    <w:p w:rsidR="00C9769F" w:rsidRPr="00D50E91" w:rsidRDefault="00C9769F" w:rsidP="00C9769F">
      <w:pPr>
        <w:autoSpaceDE w:val="0"/>
        <w:autoSpaceDN w:val="0"/>
        <w:adjustRightInd w:val="0"/>
        <w:jc w:val="both"/>
      </w:pPr>
    </w:p>
    <w:p w:rsidR="00C9769F" w:rsidRPr="00D50E91" w:rsidRDefault="00C9769F" w:rsidP="00C9769F">
      <w:pPr>
        <w:autoSpaceDE w:val="0"/>
        <w:autoSpaceDN w:val="0"/>
        <w:adjustRightInd w:val="0"/>
        <w:jc w:val="both"/>
      </w:pPr>
      <w:r w:rsidRPr="00D50E91">
        <w:t>„(3) A (2) bekezdés a) pontjában foglaltak kivételével külső térelhatároló falon B</w:t>
      </w:r>
      <w:r w:rsidR="003528A8">
        <w:t>-</w:t>
      </w:r>
      <w:r w:rsidRPr="00D50E91">
        <w:t>E tűzvédelmi osztályú, 10 cm</w:t>
      </w:r>
      <w:r w:rsidR="003528A8">
        <w:t>-</w:t>
      </w:r>
      <w:r w:rsidRPr="00D50E91">
        <w:t>nél vastagabb hőszigetelő maggal rendelkező B</w:t>
      </w:r>
      <w:r w:rsidR="003528A8">
        <w:t>-</w:t>
      </w:r>
      <w:r w:rsidRPr="00D50E91">
        <w:t>D tűzvédelmi osztályú burkolat, bevonat és egyéb homlokzati vakolt hőszigetelő rendszer akkor alkalmazható, ha</w:t>
      </w:r>
    </w:p>
    <w:p w:rsidR="00C9769F" w:rsidRPr="00D50E91" w:rsidRDefault="00C9769F" w:rsidP="00C9769F">
      <w:pPr>
        <w:autoSpaceDE w:val="0"/>
        <w:autoSpaceDN w:val="0"/>
        <w:adjustRightInd w:val="0"/>
        <w:jc w:val="both"/>
      </w:pPr>
      <w:r w:rsidRPr="00D50E91">
        <w:t>a) valamennyi homlokzati nyílás felett tűzvédelmi célú homlokzati sávot építenek be,</w:t>
      </w:r>
    </w:p>
    <w:p w:rsidR="00C9769F" w:rsidRPr="00D50E91" w:rsidRDefault="00C9769F" w:rsidP="00C9769F">
      <w:pPr>
        <w:autoSpaceDE w:val="0"/>
        <w:autoSpaceDN w:val="0"/>
        <w:adjustRightInd w:val="0"/>
        <w:jc w:val="both"/>
      </w:pPr>
      <w:r w:rsidRPr="00D50E91">
        <w:t>b) a nem nyílásos külső térelhatároló falon való alkalmazás esetén a burkolatot, bevonatot, egyéb homlokzati vakolt hőszigetelő rendszert a nyílásos külső térelhatároló falfelületeken általánosan alkalmazott burkolattól, bevonattól, hőszigetelő rendszertől tűzvédelmi célú homlokzati sávval határolják el és</w:t>
      </w:r>
    </w:p>
    <w:p w:rsidR="00C9769F" w:rsidRPr="00D50E91" w:rsidRDefault="00C9769F" w:rsidP="00C9769F">
      <w:pPr>
        <w:autoSpaceDE w:val="0"/>
        <w:autoSpaceDN w:val="0"/>
        <w:adjustRightInd w:val="0"/>
        <w:jc w:val="both"/>
      </w:pPr>
      <w:r w:rsidRPr="00D50E91">
        <w:t>c) a vonatkozó műszaki követelmény szerinti vizsgálattal igazoltan teljesül a homlokzati tűzterjedési határérték</w:t>
      </w:r>
      <w:r w:rsidR="003528A8">
        <w:t>-</w:t>
      </w:r>
      <w:r w:rsidRPr="00D50E91">
        <w:t>követelmény.</w:t>
      </w:r>
    </w:p>
    <w:p w:rsidR="00C9769F" w:rsidRPr="00D50E91" w:rsidRDefault="00C9769F" w:rsidP="00C9769F">
      <w:pPr>
        <w:autoSpaceDE w:val="0"/>
        <w:autoSpaceDN w:val="0"/>
        <w:adjustRightInd w:val="0"/>
        <w:jc w:val="both"/>
      </w:pPr>
    </w:p>
    <w:p w:rsidR="00C9769F" w:rsidRPr="00D50E91" w:rsidRDefault="00C9769F" w:rsidP="00C9769F">
      <w:pPr>
        <w:autoSpaceDE w:val="0"/>
        <w:autoSpaceDN w:val="0"/>
        <w:adjustRightInd w:val="0"/>
        <w:jc w:val="both"/>
      </w:pPr>
      <w:r w:rsidRPr="00D50E91">
        <w:t>(4) A tűzvédelmi célú homlokzati sáv csak A1 vagy A2 tűzvédelmi osztályú anyagból készülhet.”</w:t>
      </w:r>
    </w:p>
    <w:p w:rsidR="00C9769F" w:rsidRPr="00D50E91" w:rsidRDefault="00C9769F" w:rsidP="00C9769F"/>
    <w:p w:rsidR="000470E7" w:rsidRPr="00D50E91" w:rsidRDefault="000470E7" w:rsidP="000470E7">
      <w:pPr>
        <w:keepNext/>
        <w:numPr>
          <w:ilvl w:val="0"/>
          <w:numId w:val="2"/>
        </w:numPr>
        <w:spacing w:line="276" w:lineRule="auto"/>
        <w:ind w:left="0" w:firstLine="0"/>
        <w:jc w:val="center"/>
        <w:outlineLvl w:val="1"/>
        <w:rPr>
          <w:b/>
          <w:bCs/>
        </w:rPr>
      </w:pPr>
      <w:r w:rsidRPr="00D50E91">
        <w:rPr>
          <w:b/>
          <w:bCs/>
        </w:rPr>
        <w:t>§</w:t>
      </w:r>
    </w:p>
    <w:p w:rsidR="000470E7" w:rsidRPr="00D50E91" w:rsidRDefault="000470E7" w:rsidP="00C9769F"/>
    <w:p w:rsidR="000470E7" w:rsidRPr="00D50E91" w:rsidRDefault="000470E7" w:rsidP="00C9769F">
      <w:r w:rsidRPr="00D50E91">
        <w:t>Az R. 26. § (2) bekezdése helyébe a következő rendelkezés lép:</w:t>
      </w:r>
    </w:p>
    <w:p w:rsidR="000470E7" w:rsidRPr="00D50E91" w:rsidRDefault="000470E7" w:rsidP="00C9769F"/>
    <w:p w:rsidR="000470E7" w:rsidRPr="00D50E91" w:rsidRDefault="000470E7" w:rsidP="00C9769F">
      <w:r w:rsidRPr="00D50E91">
        <w:t>„(2) A homlokzati tűzterjedési határérték vizsgálattal igazolt biztosítása helyettesíthető</w:t>
      </w:r>
    </w:p>
    <w:p w:rsidR="000470E7" w:rsidRPr="00D50E91" w:rsidRDefault="000470E7" w:rsidP="00C9769F">
      <w:r w:rsidRPr="00D50E91">
        <w:t>a) a homlokzati tűzterjedési gátnak megfelelő homlokzatkialakítással,</w:t>
      </w:r>
    </w:p>
    <w:p w:rsidR="000470E7" w:rsidRPr="00D50E91" w:rsidRDefault="000470E7" w:rsidP="00C9769F">
      <w:r w:rsidRPr="00D50E91">
        <w:t>b) a beépített tűzterjedésgátló berendezés vagy a homlokzati tűzterjedési határérték</w:t>
      </w:r>
      <w:r w:rsidR="003528A8">
        <w:t>-</w:t>
      </w:r>
      <w:r w:rsidRPr="00D50E91">
        <w:t>követelmény időtartamával megegyező időtartamig tűzállósági teljesítménnyel rendelkező, a homlokzati tűzterjedés elleni gát geometriai követelményének megfelelő külső térelhatároló fal létesítésével.”</w:t>
      </w:r>
    </w:p>
    <w:p w:rsidR="000470E7" w:rsidRPr="00D50E91" w:rsidRDefault="000470E7" w:rsidP="00C9769F"/>
    <w:p w:rsidR="00C9769F" w:rsidRPr="00D50E91" w:rsidRDefault="00C9769F" w:rsidP="00C9769F">
      <w:pPr>
        <w:keepNext/>
        <w:numPr>
          <w:ilvl w:val="0"/>
          <w:numId w:val="2"/>
        </w:numPr>
        <w:spacing w:line="276" w:lineRule="auto"/>
        <w:ind w:left="0" w:firstLine="0"/>
        <w:jc w:val="center"/>
        <w:outlineLvl w:val="1"/>
        <w:rPr>
          <w:b/>
          <w:bCs/>
        </w:rPr>
      </w:pPr>
      <w:r w:rsidRPr="00D50E91">
        <w:rPr>
          <w:b/>
          <w:bCs/>
        </w:rPr>
        <w:lastRenderedPageBreak/>
        <w:t>§</w:t>
      </w:r>
    </w:p>
    <w:p w:rsidR="00C9769F" w:rsidRPr="00D50E91" w:rsidRDefault="00C9769F" w:rsidP="00C9769F"/>
    <w:p w:rsidR="00C9769F" w:rsidRPr="00D50E91" w:rsidRDefault="00C9769F" w:rsidP="00C9769F">
      <w:r w:rsidRPr="00D50E91">
        <w:t>(1) Az R. 27. § (1) bekezdése helyébe a következő rendelkezés lép:</w:t>
      </w:r>
    </w:p>
    <w:p w:rsidR="00C9769F" w:rsidRPr="00D50E91" w:rsidRDefault="00C9769F" w:rsidP="00C9769F"/>
    <w:p w:rsidR="00C9769F" w:rsidRPr="00D50E91" w:rsidRDefault="00C9769F" w:rsidP="00C9769F">
      <w:pPr>
        <w:jc w:val="both"/>
      </w:pPr>
      <w:r w:rsidRPr="00D50E91">
        <w:t>„(1) Az e rendelet által előírt E és I tűzállósági teljesítménnyel rendelkező, helyiségek közötti építményszerkezetekben a szerkezeten átvezetett villamos vagy gépészeti vezetékrendszerek átvezetési helyein, a vezeték és az építményszerkezet közötti résben, nyílásban, hézagban a tűz átterjedését az átvezetéssel érintett építményszerkezetre előírt tűzállósági teljesítménykövetelmény időtartamáig, de legfeljebb 90 percig meg kell gátolni, kivéve</w:t>
      </w:r>
    </w:p>
    <w:p w:rsidR="00C9769F" w:rsidRPr="00D50E91" w:rsidRDefault="00C9769F" w:rsidP="00C9769F">
      <w:pPr>
        <w:jc w:val="both"/>
      </w:pPr>
      <w:r w:rsidRPr="00D50E91">
        <w:t>a) a lakáson belüli átvezetéseket,</w:t>
      </w:r>
    </w:p>
    <w:p w:rsidR="00C9769F" w:rsidRPr="00D50E91" w:rsidRDefault="00C9769F" w:rsidP="00C9769F">
      <w:pPr>
        <w:jc w:val="both"/>
      </w:pPr>
      <w:r w:rsidRPr="00D50E91">
        <w:t>b) a legfeljebb 5 cm átmérőjű villamos vagy gépészeti áttörést, ha az átvezetéssel érintett építményszerkezet nem minősül tűzgátló alapszerkezetnek és a tűzvédelmi osztálya A1 vagy A2,</w:t>
      </w:r>
    </w:p>
    <w:p w:rsidR="00C9769F" w:rsidRPr="00D50E91" w:rsidRDefault="00C9769F" w:rsidP="00C9769F">
      <w:pPr>
        <w:jc w:val="both"/>
      </w:pPr>
      <w:r w:rsidRPr="00D50E91">
        <w:t>c) a tűzgátló válaszfalakat.”</w:t>
      </w:r>
    </w:p>
    <w:p w:rsidR="00C9769F" w:rsidRPr="00D50E91" w:rsidRDefault="00C9769F" w:rsidP="00C9769F">
      <w:pPr>
        <w:jc w:val="both"/>
      </w:pPr>
    </w:p>
    <w:p w:rsidR="00C9769F" w:rsidRPr="00D50E91" w:rsidRDefault="00C9769F" w:rsidP="00C9769F">
      <w:pPr>
        <w:jc w:val="both"/>
      </w:pPr>
      <w:r w:rsidRPr="00D50E91">
        <w:t>(2) Az R. 27. § a következő (1a) bekezdéssel egészül ki:</w:t>
      </w:r>
    </w:p>
    <w:p w:rsidR="00C9769F" w:rsidRPr="00D50E91" w:rsidRDefault="00C9769F" w:rsidP="00C9769F">
      <w:pPr>
        <w:jc w:val="both"/>
      </w:pPr>
    </w:p>
    <w:p w:rsidR="00C9769F" w:rsidRPr="00D50E91" w:rsidRDefault="00C9769F" w:rsidP="00C9769F">
      <w:pPr>
        <w:jc w:val="both"/>
      </w:pPr>
      <w:r w:rsidRPr="00D50E91">
        <w:t>„(1a) A kivételnek minősülő átvezetések esetében az átvezetési helyen a vezeték és az építményszerkezet közötti rést, nyílást, hézagot A1 vagy A2 tűzvédelmi osztályú anyaggal tömören le kell zárni.”</w:t>
      </w:r>
    </w:p>
    <w:p w:rsidR="00C9769F" w:rsidRPr="00D50E91" w:rsidRDefault="00C9769F" w:rsidP="00C9769F"/>
    <w:p w:rsidR="00C9769F" w:rsidRPr="00D50E91" w:rsidRDefault="00C9769F" w:rsidP="00C9769F">
      <w:pPr>
        <w:keepNext/>
        <w:numPr>
          <w:ilvl w:val="0"/>
          <w:numId w:val="2"/>
        </w:numPr>
        <w:spacing w:line="276" w:lineRule="auto"/>
        <w:ind w:left="0" w:firstLine="0"/>
        <w:jc w:val="center"/>
        <w:outlineLvl w:val="1"/>
        <w:rPr>
          <w:b/>
          <w:bCs/>
        </w:rPr>
      </w:pPr>
      <w:r w:rsidRPr="00D50E91">
        <w:rPr>
          <w:b/>
          <w:bCs/>
        </w:rPr>
        <w:t>§</w:t>
      </w:r>
    </w:p>
    <w:p w:rsidR="00C9769F" w:rsidRPr="00D50E91" w:rsidRDefault="00C9769F" w:rsidP="00C9769F"/>
    <w:p w:rsidR="00C9769F" w:rsidRPr="00D50E91" w:rsidRDefault="00C9769F" w:rsidP="00C9769F">
      <w:pPr>
        <w:jc w:val="both"/>
      </w:pPr>
      <w:r w:rsidRPr="00D50E91">
        <w:t>Az R. 29. §</w:t>
      </w:r>
      <w:r w:rsidR="003528A8">
        <w:t>-</w:t>
      </w:r>
      <w:r w:rsidRPr="00D50E91">
        <w:t>a helyébe a következő rendelkezés lép:</w:t>
      </w:r>
    </w:p>
    <w:p w:rsidR="00C9769F" w:rsidRPr="00D50E91" w:rsidRDefault="00C9769F" w:rsidP="00C9769F">
      <w:pPr>
        <w:jc w:val="both"/>
      </w:pPr>
    </w:p>
    <w:p w:rsidR="00C9769F" w:rsidRPr="00D50E91" w:rsidRDefault="00C9769F" w:rsidP="00C9769F">
      <w:pPr>
        <w:jc w:val="both"/>
      </w:pPr>
      <w:r w:rsidRPr="00D50E91">
        <w:t xml:space="preserve">„29. § (1) A tűzfalat úgy kell kialakítani, hogy az épület egészét </w:t>
      </w:r>
      <w:r w:rsidR="003528A8">
        <w:t>-</w:t>
      </w:r>
      <w:r w:rsidRPr="00D50E91">
        <w:t xml:space="preserve"> beleértve a tetőszerkezetet is </w:t>
      </w:r>
      <w:r w:rsidR="003528A8">
        <w:t>-</w:t>
      </w:r>
      <w:r w:rsidRPr="00D50E91">
        <w:t xml:space="preserve"> függőlegesen metssze át olyan módon, ami a tűz átterjedését az elvárt ideig meggátolja.</w:t>
      </w:r>
    </w:p>
    <w:p w:rsidR="00C9769F" w:rsidRPr="00D50E91" w:rsidRDefault="00C9769F" w:rsidP="00C9769F">
      <w:pPr>
        <w:jc w:val="both"/>
      </w:pPr>
    </w:p>
    <w:p w:rsidR="00C9769F" w:rsidRPr="00D50E91" w:rsidRDefault="00C9769F" w:rsidP="00C9769F">
      <w:pPr>
        <w:jc w:val="both"/>
      </w:pPr>
      <w:r w:rsidRPr="00D50E91">
        <w:t>(2) Tűzfalban az épületek közötti átjáráshoz, gépjárműközlekedéshez, technológiai kapcsolatokhoz szükséges, tűzgátló nyílászáróval ellátott nyílások kialakíthatóak, a tűzfal felületének 10%</w:t>
      </w:r>
      <w:r w:rsidR="003528A8">
        <w:t>-</w:t>
      </w:r>
      <w:r w:rsidRPr="00D50E91">
        <w:t>át meg nem haladó összesített nyílásfelülettel, a gépjárműközlekedés esetében az ahhoz feltétlenül szükséges nyílásmérettel.”</w:t>
      </w:r>
    </w:p>
    <w:p w:rsidR="00C9769F" w:rsidRPr="00D50E91" w:rsidRDefault="00C9769F" w:rsidP="00C9769F"/>
    <w:p w:rsidR="00C9769F" w:rsidRPr="00D50E91" w:rsidRDefault="00C9769F" w:rsidP="00C9769F">
      <w:pPr>
        <w:keepNext/>
        <w:numPr>
          <w:ilvl w:val="0"/>
          <w:numId w:val="2"/>
        </w:numPr>
        <w:spacing w:line="276" w:lineRule="auto"/>
        <w:ind w:left="0" w:firstLine="0"/>
        <w:jc w:val="center"/>
        <w:outlineLvl w:val="1"/>
        <w:rPr>
          <w:b/>
          <w:bCs/>
        </w:rPr>
      </w:pPr>
      <w:r w:rsidRPr="00D50E91">
        <w:rPr>
          <w:b/>
          <w:bCs/>
        </w:rPr>
        <w:t>§</w:t>
      </w:r>
    </w:p>
    <w:p w:rsidR="00C9769F" w:rsidRPr="00D50E91" w:rsidRDefault="00C9769F" w:rsidP="00C9769F"/>
    <w:p w:rsidR="00C9769F" w:rsidRPr="00D50E91" w:rsidRDefault="00C9769F" w:rsidP="00C9769F">
      <w:r w:rsidRPr="00D50E91">
        <w:t>Az R. 31. § (2) és (3) bekezdése helyébe a következő rendelkezések lépnek:</w:t>
      </w:r>
    </w:p>
    <w:p w:rsidR="00C9769F" w:rsidRPr="00D50E91" w:rsidRDefault="00C9769F" w:rsidP="00C9769F"/>
    <w:p w:rsidR="00C9769F" w:rsidRPr="00D50E91" w:rsidRDefault="00C9769F" w:rsidP="00C9769F">
      <w:pPr>
        <w:jc w:val="both"/>
      </w:pPr>
      <w:r w:rsidRPr="00D50E91">
        <w:t>„(2) E, F</w:t>
      </w:r>
      <w:r w:rsidRPr="00D50E91">
        <w:rPr>
          <w:vertAlign w:val="subscript"/>
        </w:rPr>
        <w:t>roof</w:t>
      </w:r>
      <w:r w:rsidRPr="00D50E91">
        <w:t xml:space="preserve"> vagy F tűzvédelmi osztályú anyag tetőfedésként alkalmazható, ha az építmény legfeljebb egy emeletszinttel rendelkezik és a tűzvédelmi hatóság azt az adott építményre engedélyezte. kivéve, ha</w:t>
      </w:r>
    </w:p>
    <w:p w:rsidR="00C9769F" w:rsidRPr="00D50E91" w:rsidRDefault="00C9769F" w:rsidP="00C9769F">
      <w:pPr>
        <w:jc w:val="both"/>
      </w:pPr>
      <w:r w:rsidRPr="00D50E91">
        <w:t>a) az E tűzvédelmi osztályú tetőfedés a B</w:t>
      </w:r>
      <w:r w:rsidRPr="00D50E91">
        <w:rPr>
          <w:vertAlign w:val="subscript"/>
        </w:rPr>
        <w:t>roof</w:t>
      </w:r>
      <w:r w:rsidRPr="00D50E91">
        <w:t>(t1) osztályt is teljesíti és</w:t>
      </w:r>
    </w:p>
    <w:p w:rsidR="00C9769F" w:rsidRPr="00D50E91" w:rsidRDefault="00C9769F" w:rsidP="00C9769F">
      <w:pPr>
        <w:jc w:val="both"/>
      </w:pPr>
      <w:r w:rsidRPr="00D50E91">
        <w:t>b) az építmény legfeljebb kétszintes és NAK mértékadó kockázati osztályba tartozik.</w:t>
      </w:r>
    </w:p>
    <w:p w:rsidR="00C9769F" w:rsidRPr="00D50E91" w:rsidRDefault="00C9769F" w:rsidP="00C9769F">
      <w:pPr>
        <w:jc w:val="both"/>
      </w:pPr>
    </w:p>
    <w:p w:rsidR="00C9769F" w:rsidRPr="00D50E91" w:rsidRDefault="00C9769F" w:rsidP="00C9769F">
      <w:pPr>
        <w:jc w:val="both"/>
      </w:pPr>
      <w:r w:rsidRPr="00D50E91">
        <w:t>(3) Tetőtér beépítése esetén a tetőtéri helyiségek és a tetőszerkezet, valamint a tetőtér be nem épített része között olyan térelhatároló szerkezetet, burkolatot kell kialakítani, amely a tetőfödém tartószerkezetére előírt tűzállósági követelmény időtartamáig meggátolja a tetőtéri helyiség tüzének átterjedését a tetőtéri helyiségen kívülre és a tetőszerkezetre. A térelhatároló szerkezet, burkolat tűzvédelmi osztálya legalább B legyen</w:t>
      </w:r>
    </w:p>
    <w:p w:rsidR="00C9769F" w:rsidRPr="00D50E91" w:rsidRDefault="00C9769F" w:rsidP="00C9769F">
      <w:pPr>
        <w:jc w:val="both"/>
      </w:pPr>
      <w:r w:rsidRPr="00D50E91">
        <w:t>a) KK mértékadó kockázati osztályú, a tetőtér szintjét nem számítva 4</w:t>
      </w:r>
      <w:r w:rsidR="003528A8">
        <w:t>-</w:t>
      </w:r>
      <w:r w:rsidRPr="00D50E91">
        <w:t xml:space="preserve">nél több emeletes építmény, </w:t>
      </w:r>
    </w:p>
    <w:p w:rsidR="00C9769F" w:rsidRPr="00D50E91" w:rsidRDefault="00C9769F" w:rsidP="00C9769F">
      <w:pPr>
        <w:jc w:val="both"/>
      </w:pPr>
      <w:r w:rsidRPr="00D50E91">
        <w:t>b) MK mértékadó kockázati osztályú építmény</w:t>
      </w:r>
    </w:p>
    <w:p w:rsidR="00C9769F" w:rsidRPr="00D50E91" w:rsidRDefault="00C9769F" w:rsidP="00C9769F">
      <w:pPr>
        <w:jc w:val="both"/>
      </w:pPr>
      <w:r w:rsidRPr="00D50E91">
        <w:lastRenderedPageBreak/>
        <w:t>esetén.”</w:t>
      </w:r>
    </w:p>
    <w:p w:rsidR="00C9769F" w:rsidRPr="00D50E91" w:rsidRDefault="00C9769F" w:rsidP="00C9769F">
      <w:pPr>
        <w:jc w:val="both"/>
      </w:pPr>
    </w:p>
    <w:p w:rsidR="00C9769F" w:rsidRPr="00D50E91" w:rsidRDefault="00C9769F" w:rsidP="00C9769F">
      <w:pPr>
        <w:keepNext/>
        <w:numPr>
          <w:ilvl w:val="0"/>
          <w:numId w:val="2"/>
        </w:numPr>
        <w:spacing w:line="276" w:lineRule="auto"/>
        <w:ind w:left="0" w:firstLine="0"/>
        <w:jc w:val="center"/>
        <w:outlineLvl w:val="1"/>
        <w:rPr>
          <w:b/>
          <w:bCs/>
        </w:rPr>
      </w:pPr>
      <w:r w:rsidRPr="00D50E91">
        <w:rPr>
          <w:b/>
          <w:bCs/>
        </w:rPr>
        <w:t>§</w:t>
      </w:r>
    </w:p>
    <w:p w:rsidR="00C9769F" w:rsidRPr="00D50E91" w:rsidRDefault="00C9769F" w:rsidP="00C9769F">
      <w:pPr>
        <w:jc w:val="both"/>
      </w:pPr>
    </w:p>
    <w:p w:rsidR="00C9769F" w:rsidRPr="00D50E91" w:rsidRDefault="00C9769F" w:rsidP="00C9769F">
      <w:pPr>
        <w:jc w:val="both"/>
      </w:pPr>
      <w:r w:rsidRPr="00D50E91">
        <w:t>Az R. 32. § (4) és (5) bekezdése helyébe a következő rendelkezések lépnek:</w:t>
      </w:r>
    </w:p>
    <w:p w:rsidR="00C9769F" w:rsidRPr="00D50E91" w:rsidRDefault="00C9769F" w:rsidP="00C9769F">
      <w:pPr>
        <w:jc w:val="both"/>
      </w:pPr>
    </w:p>
    <w:p w:rsidR="00C9769F" w:rsidRPr="00D50E91" w:rsidRDefault="00C9769F" w:rsidP="00C9769F">
      <w:pPr>
        <w:jc w:val="both"/>
      </w:pPr>
      <w:r w:rsidRPr="00D50E91">
        <w:t xml:space="preserve">„(4) A felülvilágító bevilágító felületének tűzvédelmi osztálya </w:t>
      </w:r>
    </w:p>
    <w:p w:rsidR="00C9769F" w:rsidRPr="00D50E91" w:rsidRDefault="00C9769F" w:rsidP="00C9769F">
      <w:pPr>
        <w:jc w:val="both"/>
      </w:pPr>
      <w:r w:rsidRPr="00D50E91">
        <w:t>a) NAK és AK osztályú, tárolási, ipari, mezőgazdasági alaprendeltetésű kockázati egységekben legalább E,</w:t>
      </w:r>
    </w:p>
    <w:p w:rsidR="00C9769F" w:rsidRPr="00D50E91" w:rsidRDefault="00C9769F" w:rsidP="00C9769F">
      <w:pPr>
        <w:jc w:val="both"/>
      </w:pPr>
      <w:r w:rsidRPr="00D50E91">
        <w:t>b) egyéb esetben legalább D s3, d0</w:t>
      </w:r>
    </w:p>
    <w:p w:rsidR="00C9769F" w:rsidRPr="00D50E91" w:rsidRDefault="00C9769F" w:rsidP="00C9769F">
      <w:pPr>
        <w:jc w:val="both"/>
      </w:pPr>
      <w:r w:rsidRPr="00D50E91">
        <w:t>legyen.</w:t>
      </w:r>
    </w:p>
    <w:p w:rsidR="00C9769F" w:rsidRPr="00D50E91" w:rsidRDefault="00C9769F" w:rsidP="00C9769F">
      <w:pPr>
        <w:jc w:val="both"/>
      </w:pPr>
    </w:p>
    <w:p w:rsidR="00C9769F" w:rsidRPr="00D50E91" w:rsidRDefault="00C9769F" w:rsidP="00C9769F">
      <w:pPr>
        <w:jc w:val="both"/>
      </w:pPr>
      <w:r w:rsidRPr="00D50E91">
        <w:t>(5) A lapostetőn szabad nyílás, szellőző, felülvilágító, hő</w:t>
      </w:r>
      <w:r w:rsidR="003528A8">
        <w:t>-</w:t>
      </w:r>
      <w:r w:rsidRPr="00D50E91">
        <w:t xml:space="preserve"> és füstelvezető szerkezet és egyéb, a tető alatti tűz tetőn kívülre terjedését elősegítő szerkezet a tűzszakaszhatártól legalább 2,5 méter, a tűzfaltól legalább 5,0 méter távolságra helyezhető el, kivéve, ha</w:t>
      </w:r>
    </w:p>
    <w:p w:rsidR="00C9769F" w:rsidRPr="00D50E91" w:rsidRDefault="00C9769F" w:rsidP="00C9769F">
      <w:pPr>
        <w:jc w:val="both"/>
      </w:pPr>
      <w:r w:rsidRPr="00D50E91">
        <w:t>a) a lapostetőt tűzgátló födémként alakítják ki, tűzgátló lezárásokkal,</w:t>
      </w:r>
    </w:p>
    <w:p w:rsidR="00C9769F" w:rsidRPr="00D50E91" w:rsidRDefault="00C9769F" w:rsidP="00C9769F">
      <w:pPr>
        <w:jc w:val="both"/>
      </w:pPr>
      <w:r w:rsidRPr="00D50E91">
        <w:t>b) a tűzterjedést elősegítő szerkezet éghető anyagú és a szerkezetet a tetőtűzterjedés elleni gát legalább 30 cm</w:t>
      </w:r>
      <w:r w:rsidR="003528A8">
        <w:t>-</w:t>
      </w:r>
      <w:r w:rsidRPr="00D50E91">
        <w:t>el meghaladja,</w:t>
      </w:r>
    </w:p>
    <w:p w:rsidR="00C9769F" w:rsidRPr="00D50E91" w:rsidRDefault="00C9769F" w:rsidP="00C9769F">
      <w:pPr>
        <w:jc w:val="both"/>
      </w:pPr>
      <w:r w:rsidRPr="00D50E91">
        <w:t>c) megakadályozzák, hogy a tűz a tűzterjedést elősegítő szerkezeten keresztül a tetőfödémre vonatkozó tűzállósági követelmény időtartamán belül kijusson a tetőn kívülre, vagy</w:t>
      </w:r>
    </w:p>
    <w:p w:rsidR="00C9769F" w:rsidRPr="00D50E91" w:rsidRDefault="00C9769F" w:rsidP="00C9769F">
      <w:pPr>
        <w:jc w:val="both"/>
      </w:pPr>
      <w:r w:rsidRPr="00D50E91">
        <w:t>d) eltérő magasságú tűzszakaszokat elválasztó tűzszakaszhatár vagy tűzfal esetén az e rendelet szerinti követelményeket betartják.”</w:t>
      </w:r>
    </w:p>
    <w:p w:rsidR="00C9769F" w:rsidRPr="00D50E91" w:rsidRDefault="00C9769F" w:rsidP="00C9769F">
      <w:pPr>
        <w:jc w:val="both"/>
      </w:pPr>
    </w:p>
    <w:p w:rsidR="00C9769F" w:rsidRPr="00D50E91" w:rsidRDefault="00C9769F" w:rsidP="00C9769F">
      <w:pPr>
        <w:keepNext/>
        <w:numPr>
          <w:ilvl w:val="0"/>
          <w:numId w:val="2"/>
        </w:numPr>
        <w:spacing w:line="276" w:lineRule="auto"/>
        <w:ind w:left="0" w:firstLine="0"/>
        <w:jc w:val="center"/>
        <w:outlineLvl w:val="1"/>
        <w:rPr>
          <w:b/>
          <w:bCs/>
        </w:rPr>
      </w:pPr>
      <w:r w:rsidRPr="00D50E91">
        <w:rPr>
          <w:b/>
          <w:bCs/>
        </w:rPr>
        <w:t>§</w:t>
      </w:r>
    </w:p>
    <w:p w:rsidR="00C9769F" w:rsidRPr="00D50E91" w:rsidRDefault="00C9769F" w:rsidP="00C9769F">
      <w:pPr>
        <w:jc w:val="both"/>
      </w:pPr>
    </w:p>
    <w:p w:rsidR="00C9769F" w:rsidRPr="00D50E91" w:rsidRDefault="00C9769F" w:rsidP="00C9769F">
      <w:pPr>
        <w:jc w:val="both"/>
      </w:pPr>
      <w:r w:rsidRPr="00D50E91">
        <w:t>Az R. 33. §</w:t>
      </w:r>
      <w:r w:rsidR="003528A8">
        <w:t>-</w:t>
      </w:r>
      <w:r w:rsidRPr="00D50E91">
        <w:t>a helyébe a következő rendelkezés lép:</w:t>
      </w:r>
    </w:p>
    <w:p w:rsidR="00C9769F" w:rsidRPr="00D50E91" w:rsidRDefault="00C9769F" w:rsidP="00C9769F">
      <w:pPr>
        <w:jc w:val="both"/>
      </w:pPr>
    </w:p>
    <w:p w:rsidR="00C9769F" w:rsidRPr="00D50E91" w:rsidRDefault="00C9769F" w:rsidP="00C9769F">
      <w:pPr>
        <w:jc w:val="both"/>
      </w:pPr>
      <w:r w:rsidRPr="00D50E91">
        <w:t>„33. § (1) Lakó és közösségi alaprendeltetésű kockázati egységben az épületen belüli szemétgyűjtő helyiség nem szabadba nyíló ajtaja legalább EI</w:t>
      </w:r>
      <w:r w:rsidRPr="00D50E91">
        <w:rPr>
          <w:vertAlign w:val="subscript"/>
        </w:rPr>
        <w:t>2</w:t>
      </w:r>
      <w:r w:rsidRPr="00D50E91">
        <w:t xml:space="preserve"> 30</w:t>
      </w:r>
      <w:r w:rsidR="003528A8">
        <w:t>-</w:t>
      </w:r>
      <w:r w:rsidRPr="00D50E91">
        <w:t>C tűzállósági teljesítményű, továbbá határoló falszerkezete legalább A2 tűzvédelmi osztályú és EI 30 tűzállósági teljesítményű legyen.</w:t>
      </w:r>
    </w:p>
    <w:p w:rsidR="00C9769F" w:rsidRPr="00D50E91" w:rsidRDefault="00C9769F" w:rsidP="00C9769F">
      <w:pPr>
        <w:jc w:val="both"/>
      </w:pPr>
    </w:p>
    <w:p w:rsidR="00C9769F" w:rsidRPr="00D50E91" w:rsidRDefault="00C9769F" w:rsidP="00C9769F">
      <w:pPr>
        <w:jc w:val="both"/>
      </w:pPr>
      <w:r w:rsidRPr="00D50E91">
        <w:t>(2) KK vagy MK mértékadó kockázati osztályba tartozó lakó</w:t>
      </w:r>
      <w:r w:rsidR="003528A8">
        <w:t>-</w:t>
      </w:r>
      <w:r w:rsidRPr="00D50E91">
        <w:t xml:space="preserve"> és közösségi épületekben a be nem épített tetőtér nem szabadba nyíló bejárata legalább EI</w:t>
      </w:r>
      <w:r w:rsidRPr="00D50E91">
        <w:rPr>
          <w:vertAlign w:val="subscript"/>
        </w:rPr>
        <w:t>2</w:t>
      </w:r>
      <w:r w:rsidRPr="00D50E91">
        <w:t xml:space="preserve"> 30</w:t>
      </w:r>
      <w:r w:rsidR="003528A8">
        <w:t>-</w:t>
      </w:r>
      <w:r w:rsidRPr="00D50E91">
        <w:t>C tűzállósági teljesítményű ajtó legyen.</w:t>
      </w:r>
    </w:p>
    <w:p w:rsidR="00C9769F" w:rsidRPr="00D50E91" w:rsidRDefault="00C9769F" w:rsidP="00C9769F">
      <w:pPr>
        <w:jc w:val="both"/>
      </w:pPr>
    </w:p>
    <w:p w:rsidR="00C9769F" w:rsidRPr="00D50E91" w:rsidRDefault="00C9769F" w:rsidP="00C9769F">
      <w:pPr>
        <w:jc w:val="both"/>
      </w:pPr>
      <w:r w:rsidRPr="00D50E91">
        <w:t>(3) Lakó és közösségi alaprendeltetésű kockázati egységben a 100 m</w:t>
      </w:r>
      <w:r w:rsidRPr="00D50E91">
        <w:rPr>
          <w:vertAlign w:val="superscript"/>
        </w:rPr>
        <w:t>2</w:t>
      </w:r>
      <w:r w:rsidR="003528A8">
        <w:t>-</w:t>
      </w:r>
      <w:r w:rsidRPr="00D50E91">
        <w:t>nél nagyobb alapterületű, mérsékelten tűzveszélyes osztályú anyagok tárolására szolgáló helyiség, közös bejáratú helyiségcsoport falszerkezetét födémtől födémig kell kialakítani. A falszerkezet legalább A2 tűzvédelmi osztályú és EI 30 tűzállósági teljesítményű, nem szabadba nyíló ajtaja legalább EI</w:t>
      </w:r>
      <w:r w:rsidRPr="00D50E91">
        <w:rPr>
          <w:vertAlign w:val="subscript"/>
        </w:rPr>
        <w:t>2</w:t>
      </w:r>
      <w:r w:rsidRPr="00D50E91">
        <w:t xml:space="preserve"> 30</w:t>
      </w:r>
      <w:r w:rsidR="003528A8">
        <w:t>-</w:t>
      </w:r>
      <w:r w:rsidRPr="00D50E91">
        <w:t>C tűzállósági teljesítményű legyen.</w:t>
      </w:r>
    </w:p>
    <w:p w:rsidR="00C9769F" w:rsidRPr="00D50E91" w:rsidRDefault="00C9769F" w:rsidP="00C9769F">
      <w:pPr>
        <w:jc w:val="both"/>
      </w:pPr>
    </w:p>
    <w:p w:rsidR="00C9769F" w:rsidRPr="00D50E91" w:rsidRDefault="00C9769F" w:rsidP="00C9769F">
      <w:pPr>
        <w:jc w:val="both"/>
      </w:pPr>
      <w:r w:rsidRPr="00D50E91">
        <w:t>(4) A szomszédos, technológiailag nem kapcsolódó helyiségektől az adott épület mértékadó kockázati besorolásának megfelelő tűzgátló építményszerkezetekkel kell határolni</w:t>
      </w:r>
    </w:p>
    <w:p w:rsidR="00C9769F" w:rsidRPr="00D50E91" w:rsidRDefault="00C9769F" w:rsidP="00C9769F">
      <w:pPr>
        <w:jc w:val="both"/>
      </w:pPr>
      <w:r w:rsidRPr="00D50E91">
        <w:t>a) a 140 kW összteljesítmény feletti kazánhelyiséget,</w:t>
      </w:r>
    </w:p>
    <w:p w:rsidR="00C9769F" w:rsidRPr="00D50E91" w:rsidRDefault="00C9769F" w:rsidP="00C9769F">
      <w:pPr>
        <w:jc w:val="both"/>
      </w:pPr>
      <w:r w:rsidRPr="00D50E91">
        <w:t>b) a gázmotor tereket, ha az összteljesítmény meghaladja a 140 kW</w:t>
      </w:r>
      <w:r w:rsidR="003528A8">
        <w:t>-</w:t>
      </w:r>
      <w:r w:rsidRPr="00D50E91">
        <w:t>t,</w:t>
      </w:r>
    </w:p>
    <w:p w:rsidR="00C9769F" w:rsidRPr="00D50E91" w:rsidRDefault="00C9769F" w:rsidP="00C9769F">
      <w:pPr>
        <w:jc w:val="both"/>
      </w:pPr>
      <w:r w:rsidRPr="00D50E91">
        <w:t>c) a 200 m</w:t>
      </w:r>
      <w:r w:rsidRPr="00D50E91">
        <w:rPr>
          <w:vertAlign w:val="superscript"/>
        </w:rPr>
        <w:t>2</w:t>
      </w:r>
      <w:r w:rsidRPr="00D50E91">
        <w:t xml:space="preserve"> alapterület fölötti gépészeti helyiségeket, szellőző gépházakat,</w:t>
      </w:r>
    </w:p>
    <w:p w:rsidR="00C9769F" w:rsidRPr="00D50E91" w:rsidRDefault="00C9769F" w:rsidP="00C9769F">
      <w:pPr>
        <w:jc w:val="both"/>
      </w:pPr>
      <w:r w:rsidRPr="00D50E91">
        <w:t>d) a normál és biztonsági tápellátással is rendelkező főelosztó vagy kisfeszültségű, 3 x 250 A</w:t>
      </w:r>
      <w:r w:rsidR="003528A8">
        <w:t>-</w:t>
      </w:r>
      <w:r w:rsidRPr="00D50E91">
        <w:t>nél nagyobb áramerősségű betáplálással rendelkező főelosztó elhelyezésére szolgáló villamos kapcsoló helyiségeket és a több tűzeseti fogyasztó megtáplálására szolgáló, a megtáplált tűzeseti fogyasztóval nem egybeépített biztonsági tápforrás berendezéseit tartalmazó helyiséget,</w:t>
      </w:r>
    </w:p>
    <w:p w:rsidR="00C9769F" w:rsidRPr="00D50E91" w:rsidRDefault="00C9769F" w:rsidP="00C9769F">
      <w:pPr>
        <w:jc w:val="both"/>
      </w:pPr>
      <w:r w:rsidRPr="00D50E91">
        <w:t>e) a tűzivíz ellátást biztosító nyomásfokozó szivattyút tartalmazó helyiséget,</w:t>
      </w:r>
    </w:p>
    <w:p w:rsidR="00C9769F" w:rsidRPr="00D50E91" w:rsidRDefault="00C9769F" w:rsidP="00C9769F">
      <w:pPr>
        <w:jc w:val="both"/>
      </w:pPr>
      <w:r w:rsidRPr="00D50E91">
        <w:lastRenderedPageBreak/>
        <w:t>f) a kórházak energiaellátását, üzemképességét fenntartó berendezéseket tartalmazó helyiségeket,</w:t>
      </w:r>
    </w:p>
    <w:p w:rsidR="00C9769F" w:rsidRPr="00D50E91" w:rsidRDefault="00C9769F" w:rsidP="00C9769F">
      <w:pPr>
        <w:jc w:val="both"/>
      </w:pPr>
      <w:r w:rsidRPr="00D50E91">
        <w:t>g) a tűzoltósági beavatkozási központot,</w:t>
      </w:r>
    </w:p>
    <w:p w:rsidR="00C9769F" w:rsidRPr="00D50E91" w:rsidRDefault="00C9769F" w:rsidP="00C9769F">
      <w:pPr>
        <w:jc w:val="both"/>
      </w:pPr>
      <w:r w:rsidRPr="00D50E91">
        <w:t>h) a nemzetbiztonsági, tűzbiztonsági szempontok alapján a tűzvédelmi hatóság által meghatározott helyiségeket,</w:t>
      </w:r>
    </w:p>
    <w:p w:rsidR="00C9769F" w:rsidRPr="00D50E91" w:rsidRDefault="00C9769F" w:rsidP="00C9769F">
      <w:pPr>
        <w:jc w:val="both"/>
      </w:pPr>
      <w:r w:rsidRPr="00D50E91">
        <w:t xml:space="preserve">i) közösségi alaprendeltetés esetén – kereskedelmi rendeltetés kivételével </w:t>
      </w:r>
      <w:r w:rsidR="003528A8">
        <w:t>-</w:t>
      </w:r>
      <w:r w:rsidRPr="00D50E91">
        <w:t xml:space="preserve"> a 300 kg/l mennyiséget meghaladó mennyiségű, fokozottan tűz</w:t>
      </w:r>
      <w:r w:rsidR="003528A8">
        <w:t>-</w:t>
      </w:r>
      <w:r w:rsidRPr="00D50E91">
        <w:t xml:space="preserve"> vagy robbanásveszélyes osztályba tartozó anyag passzív tárolására szolgáló helyiséget, kivéve az e célra minősített tároló szekrényben történő tárolást, és</w:t>
      </w:r>
    </w:p>
    <w:p w:rsidR="00C9769F" w:rsidRPr="00D50E91" w:rsidRDefault="00C9769F" w:rsidP="00C9769F">
      <w:pPr>
        <w:jc w:val="both"/>
      </w:pPr>
      <w:r w:rsidRPr="00D50E91">
        <w:t>j) a gázpalacktároló helyiséget.</w:t>
      </w:r>
    </w:p>
    <w:p w:rsidR="00C9769F" w:rsidRPr="00D50E91" w:rsidRDefault="00C9769F" w:rsidP="00C9769F">
      <w:pPr>
        <w:jc w:val="both"/>
      </w:pPr>
    </w:p>
    <w:p w:rsidR="00C9769F" w:rsidRPr="00D50E91" w:rsidRDefault="00C9769F" w:rsidP="00C9769F">
      <w:pPr>
        <w:jc w:val="both"/>
      </w:pPr>
      <w:r w:rsidRPr="00D50E91">
        <w:t>(5) A beépített tűzoltó berendezés oltóközpont</w:t>
      </w:r>
      <w:r w:rsidR="003528A8">
        <w:t>-</w:t>
      </w:r>
      <w:r w:rsidRPr="00D50E91">
        <w:t>helyiségét, gépházát a szomszédos helyiségektől a berendezés előírt működési időtartamával legalább megegyező tűzállósági teljesítményű építményszerkezetekkel kell elválasztani. Abban az esetben, ha a működési időtartam</w:t>
      </w:r>
      <w:r w:rsidR="003528A8">
        <w:t>-</w:t>
      </w:r>
      <w:r w:rsidRPr="00D50E91">
        <w:t>követelmény meghaladja az építmény teherhordó falára előírt tűzállósági teljesítmény</w:t>
      </w:r>
      <w:r w:rsidR="003528A8">
        <w:t>-</w:t>
      </w:r>
      <w:r w:rsidRPr="00D50E91">
        <w:t>követelmény időtartamát, akkor a teherhordó falra vonatkozó tűzállósági teljesítményt kell teljesítenie az elválasztó falnak.</w:t>
      </w:r>
    </w:p>
    <w:p w:rsidR="00C9769F" w:rsidRPr="00D50E91" w:rsidRDefault="00C9769F" w:rsidP="00C9769F">
      <w:pPr>
        <w:jc w:val="both"/>
      </w:pPr>
    </w:p>
    <w:p w:rsidR="00C9769F" w:rsidRPr="00D50E91" w:rsidRDefault="00C9769F" w:rsidP="00C9769F">
      <w:pPr>
        <w:jc w:val="both"/>
      </w:pPr>
      <w:r w:rsidRPr="00D50E91">
        <w:t>(6) A vízalapú tűzoltó berendezés szivattyúházának megközelítését szabadból, füstmentes lépcsőházból vagy füstmentes lépcsőház előteréből kell biztosítani.</w:t>
      </w:r>
    </w:p>
    <w:p w:rsidR="00C9769F" w:rsidRPr="00D50E91" w:rsidRDefault="00C9769F" w:rsidP="00C9769F">
      <w:pPr>
        <w:jc w:val="both"/>
      </w:pPr>
    </w:p>
    <w:p w:rsidR="00C9769F" w:rsidRPr="00D50E91" w:rsidRDefault="00C9769F" w:rsidP="00C9769F">
      <w:pPr>
        <w:jc w:val="both"/>
      </w:pPr>
      <w:r w:rsidRPr="00D50E91">
        <w:t>(7) A tömegtartózkodásra szolgáló helyiségben előírt B</w:t>
      </w:r>
      <w:r w:rsidR="003528A8">
        <w:t>-</w:t>
      </w:r>
      <w:r w:rsidRPr="00D50E91">
        <w:t>s1, d0 tűzvédelmi osztályú mennyezetburkolat helyett alkalmazható C</w:t>
      </w:r>
      <w:r w:rsidR="003528A8">
        <w:t>-</w:t>
      </w:r>
      <w:r w:rsidRPr="00D50E91">
        <w:t>s1, d0 tűzvédelmi osztályú és g1 gyújtásveszélyességi kategóriájú szerkezet.</w:t>
      </w:r>
      <w:r w:rsidR="00EC1E8B">
        <w:t>”</w:t>
      </w:r>
    </w:p>
    <w:p w:rsidR="00C9769F" w:rsidRPr="00D50E91" w:rsidRDefault="00C9769F" w:rsidP="00C9769F">
      <w:pPr>
        <w:jc w:val="both"/>
      </w:pPr>
    </w:p>
    <w:p w:rsidR="00C9769F" w:rsidRPr="00D50E91" w:rsidRDefault="00C9769F" w:rsidP="00C9769F">
      <w:pPr>
        <w:keepNext/>
        <w:numPr>
          <w:ilvl w:val="0"/>
          <w:numId w:val="2"/>
        </w:numPr>
        <w:spacing w:line="276" w:lineRule="auto"/>
        <w:ind w:left="0" w:firstLine="0"/>
        <w:jc w:val="center"/>
        <w:outlineLvl w:val="1"/>
        <w:rPr>
          <w:b/>
          <w:bCs/>
        </w:rPr>
      </w:pPr>
      <w:r w:rsidRPr="00D50E91">
        <w:rPr>
          <w:b/>
          <w:bCs/>
        </w:rPr>
        <w:t>§</w:t>
      </w:r>
    </w:p>
    <w:p w:rsidR="00C9769F" w:rsidRPr="00D50E91" w:rsidRDefault="00C9769F" w:rsidP="00C9769F">
      <w:pPr>
        <w:jc w:val="both"/>
      </w:pPr>
    </w:p>
    <w:p w:rsidR="00C9769F" w:rsidRPr="00D50E91" w:rsidRDefault="00C9769F" w:rsidP="00C9769F">
      <w:pPr>
        <w:jc w:val="both"/>
      </w:pPr>
      <w:r w:rsidRPr="00D50E91">
        <w:t>Az R 34. § (1) és (2) bekezdése helyébe a következő rendelkezések lépnek:</w:t>
      </w:r>
    </w:p>
    <w:p w:rsidR="00C9769F" w:rsidRPr="00D50E91" w:rsidRDefault="00C9769F" w:rsidP="00C9769F">
      <w:pPr>
        <w:jc w:val="both"/>
      </w:pPr>
    </w:p>
    <w:p w:rsidR="00C9769F" w:rsidRPr="00D50E91" w:rsidRDefault="00C9769F" w:rsidP="00C9769F">
      <w:pPr>
        <w:jc w:val="both"/>
      </w:pPr>
      <w:r w:rsidRPr="00D50E91">
        <w:t>„(1) A szellőzőrendszereket úgy kell kialakítani, hogy az egyes szintek, önálló rendeltetési egységek között az esetleg keletkező tűz és füstgáz átterjedését a szellőzőrendszer ne tegye lehetővé, kivéve azokat a helyiségcsoportokat, amelyek között a helyiségkapcsolatok a tűz és a füstgáz terjedését nem korlátozzák.</w:t>
      </w:r>
    </w:p>
    <w:p w:rsidR="00C9769F" w:rsidRPr="00D50E91" w:rsidRDefault="00C9769F" w:rsidP="00C9769F"/>
    <w:p w:rsidR="00C9769F" w:rsidRPr="00D50E91" w:rsidRDefault="00C9769F" w:rsidP="00C9769F">
      <w:r w:rsidRPr="00D50E91">
        <w:t>(2) A gépészeti aknán kívül elhelyezett szellőző</w:t>
      </w:r>
      <w:r w:rsidR="003528A8">
        <w:t>-</w:t>
      </w:r>
      <w:r w:rsidRPr="00D50E91">
        <w:t>berendezés több tűzszakaszon átvezetett csatornáit A1 vagy A2</w:t>
      </w:r>
      <w:r w:rsidR="003528A8">
        <w:t>-</w:t>
      </w:r>
      <w:r w:rsidRPr="00D50E91">
        <w:t>s1 szigetelését A1, A1</w:t>
      </w:r>
      <w:r w:rsidRPr="00D50E91">
        <w:rPr>
          <w:vertAlign w:val="subscript"/>
        </w:rPr>
        <w:t>L</w:t>
      </w:r>
      <w:r w:rsidRPr="00D50E91">
        <w:t>, A2</w:t>
      </w:r>
      <w:r w:rsidR="003528A8">
        <w:t>-</w:t>
      </w:r>
      <w:r w:rsidRPr="00D50E91">
        <w:t>s1 vagy A2</w:t>
      </w:r>
      <w:r w:rsidRPr="00D50E91">
        <w:rPr>
          <w:vertAlign w:val="subscript"/>
        </w:rPr>
        <w:t>L</w:t>
      </w:r>
      <w:r w:rsidR="003528A8">
        <w:t>-</w:t>
      </w:r>
      <w:r w:rsidRPr="00D50E91">
        <w:t>s1 minősítésű anyagból kell készíteni.”</w:t>
      </w:r>
    </w:p>
    <w:p w:rsidR="00C9769F" w:rsidRPr="00D50E91" w:rsidRDefault="00C9769F" w:rsidP="00C9769F">
      <w:pPr>
        <w:jc w:val="both"/>
      </w:pPr>
    </w:p>
    <w:p w:rsidR="00C9769F" w:rsidRPr="00D50E91" w:rsidRDefault="00C9769F" w:rsidP="00C9769F">
      <w:pPr>
        <w:keepNext/>
        <w:numPr>
          <w:ilvl w:val="0"/>
          <w:numId w:val="2"/>
        </w:numPr>
        <w:spacing w:line="276" w:lineRule="auto"/>
        <w:ind w:left="0" w:firstLine="0"/>
        <w:jc w:val="center"/>
        <w:outlineLvl w:val="1"/>
        <w:rPr>
          <w:b/>
          <w:bCs/>
        </w:rPr>
      </w:pPr>
      <w:r w:rsidRPr="00D50E91">
        <w:rPr>
          <w:b/>
          <w:bCs/>
        </w:rPr>
        <w:t>§</w:t>
      </w:r>
    </w:p>
    <w:p w:rsidR="00C9769F" w:rsidRPr="00D50E91" w:rsidRDefault="00C9769F" w:rsidP="00C9769F">
      <w:pPr>
        <w:jc w:val="both"/>
      </w:pPr>
    </w:p>
    <w:p w:rsidR="00C9769F" w:rsidRPr="00D50E91" w:rsidRDefault="00C9769F" w:rsidP="00C9769F">
      <w:pPr>
        <w:jc w:val="both"/>
      </w:pPr>
      <w:r w:rsidRPr="00D50E91">
        <w:t>Az R 36. §</w:t>
      </w:r>
      <w:r w:rsidR="003528A8">
        <w:t>-</w:t>
      </w:r>
      <w:r w:rsidRPr="00D50E91">
        <w:t>a helyébe a következő rendelkezés lép:</w:t>
      </w:r>
    </w:p>
    <w:p w:rsidR="00C9769F" w:rsidRPr="00D50E91" w:rsidRDefault="00C9769F" w:rsidP="00C9769F">
      <w:pPr>
        <w:jc w:val="both"/>
      </w:pPr>
    </w:p>
    <w:p w:rsidR="00C9769F" w:rsidRPr="00D50E91" w:rsidRDefault="00C9769F" w:rsidP="00C9769F">
      <w:pPr>
        <w:jc w:val="both"/>
      </w:pPr>
      <w:r w:rsidRPr="00D50E91">
        <w:t>„(1) Lakó, üdülő rendeltetés esetén NAK és AK kockázati osztályba tartozó kockázati egységben a lakások, üdülőegységek közötti elválasztó falak legalább EI 30 tűzállósági teljesítményűek legyenek. A KK és MK kockázati osztályba tartozó kockázati egységben a lakást, üdülőegységet határoló falat legalább tűzgátló fallal egyenértékű tűzállósági teljesítményű szerkezetként kell létesíteni.</w:t>
      </w:r>
    </w:p>
    <w:p w:rsidR="00C9769F" w:rsidRPr="00D50E91" w:rsidRDefault="00C9769F" w:rsidP="00C9769F">
      <w:pPr>
        <w:jc w:val="both"/>
      </w:pPr>
    </w:p>
    <w:p w:rsidR="00C9769F" w:rsidRPr="00D50E91" w:rsidRDefault="00C9769F" w:rsidP="00C9769F">
      <w:pPr>
        <w:jc w:val="both"/>
      </w:pPr>
      <w:r w:rsidRPr="00D50E91">
        <w:t>(2) Lakó vagy üdülő rendeltetés esetén a NAK kockázati osztályú kockázati egység kivételével a zárt folyosóra, menekülési útvonalra vagy lépcsőházba nyíló lakossági tárolók, közös bejáratú tároló helyiségcsoportok épületen belüli ajtói legalább EI</w:t>
      </w:r>
      <w:r w:rsidRPr="00D50E91">
        <w:rPr>
          <w:vertAlign w:val="subscript"/>
        </w:rPr>
        <w:t>2</w:t>
      </w:r>
      <w:r w:rsidRPr="00D50E91">
        <w:t xml:space="preserve"> 30</w:t>
      </w:r>
      <w:r w:rsidR="003528A8">
        <w:t>-</w:t>
      </w:r>
      <w:r w:rsidRPr="00D50E91">
        <w:t>C tűzállósági teljesítményűek legyenek.</w:t>
      </w:r>
    </w:p>
    <w:p w:rsidR="00C9769F" w:rsidRPr="00D50E91" w:rsidRDefault="00C9769F" w:rsidP="00C9769F">
      <w:pPr>
        <w:jc w:val="both"/>
      </w:pPr>
    </w:p>
    <w:p w:rsidR="00C9769F" w:rsidRPr="00D50E91" w:rsidRDefault="00C9769F" w:rsidP="00C9769F">
      <w:pPr>
        <w:jc w:val="both"/>
      </w:pPr>
      <w:r w:rsidRPr="00D50E91">
        <w:t xml:space="preserve">(3) Lakó, üdülő rendeltetés esetén, a NAK és az AK kockázati osztályú kockázati egység kivételével a zárt közép vagy oldalfolyosóra, menekülési útvonalra vagy lépcsőházba nyíló lakások, </w:t>
      </w:r>
      <w:r w:rsidRPr="00D50E91">
        <w:lastRenderedPageBreak/>
        <w:t>üdülőegységek épületen belüli lakásbejárati ajtói legalább EI</w:t>
      </w:r>
      <w:r w:rsidRPr="00D50E91">
        <w:rPr>
          <w:vertAlign w:val="subscript"/>
        </w:rPr>
        <w:t>2</w:t>
      </w:r>
      <w:r w:rsidRPr="00D50E91">
        <w:t xml:space="preserve"> 30 tűzállósági teljesítményűek legyenek.”</w:t>
      </w:r>
    </w:p>
    <w:p w:rsidR="00C9769F" w:rsidRPr="00D50E91" w:rsidRDefault="00C9769F" w:rsidP="00C9769F">
      <w:pPr>
        <w:jc w:val="both"/>
      </w:pPr>
    </w:p>
    <w:p w:rsidR="00C9769F" w:rsidRPr="00D50E91" w:rsidRDefault="00C9769F" w:rsidP="00C9769F">
      <w:pPr>
        <w:keepNext/>
        <w:numPr>
          <w:ilvl w:val="0"/>
          <w:numId w:val="2"/>
        </w:numPr>
        <w:spacing w:line="276" w:lineRule="auto"/>
        <w:ind w:left="0" w:firstLine="0"/>
        <w:jc w:val="center"/>
        <w:outlineLvl w:val="1"/>
        <w:rPr>
          <w:b/>
          <w:bCs/>
        </w:rPr>
      </w:pPr>
      <w:r w:rsidRPr="00D50E91">
        <w:rPr>
          <w:b/>
          <w:bCs/>
        </w:rPr>
        <w:t>§</w:t>
      </w:r>
    </w:p>
    <w:p w:rsidR="00C9769F" w:rsidRPr="00D50E91" w:rsidRDefault="00C9769F" w:rsidP="00C9769F">
      <w:pPr>
        <w:jc w:val="both"/>
      </w:pPr>
    </w:p>
    <w:p w:rsidR="00C9769F" w:rsidRPr="00D50E91" w:rsidRDefault="00C9769F" w:rsidP="00C9769F">
      <w:pPr>
        <w:jc w:val="both"/>
      </w:pPr>
      <w:r w:rsidRPr="00D50E91">
        <w:t>(1) Az R. 37. § (1) és (2) bekezdésébe a következő rendelkezések lépnek:</w:t>
      </w:r>
    </w:p>
    <w:p w:rsidR="00C9769F" w:rsidRPr="00D50E91" w:rsidRDefault="00C9769F" w:rsidP="00C9769F">
      <w:pPr>
        <w:jc w:val="both"/>
      </w:pPr>
    </w:p>
    <w:p w:rsidR="00C9769F" w:rsidRPr="00D50E91" w:rsidRDefault="00C9769F" w:rsidP="00C9769F">
      <w:pPr>
        <w:jc w:val="both"/>
      </w:pPr>
      <w:r w:rsidRPr="00D50E91">
        <w:t>„(1) Szállás rendeltetés esetén a szobaegység és a szomszédos helyiségek közötti elválasztó fal legalább EI 30 tűzállósági teljesítményű legyen.</w:t>
      </w:r>
    </w:p>
    <w:p w:rsidR="00C9769F" w:rsidRPr="00D50E91" w:rsidRDefault="00C9769F" w:rsidP="00C9769F">
      <w:pPr>
        <w:jc w:val="both"/>
      </w:pPr>
    </w:p>
    <w:p w:rsidR="00C9769F" w:rsidRPr="00D50E91" w:rsidRDefault="00C9769F" w:rsidP="00C9769F">
      <w:pPr>
        <w:jc w:val="both"/>
      </w:pPr>
      <w:r w:rsidRPr="00D50E91">
        <w:t>(2) ) A NAK és AK kockázati osztályú kockázati egység kivételével a szobaegységek épületen belüli bejárati ajtói legalább EI</w:t>
      </w:r>
      <w:r w:rsidRPr="00D50E91">
        <w:rPr>
          <w:vertAlign w:val="subscript"/>
        </w:rPr>
        <w:t>2</w:t>
      </w:r>
      <w:r w:rsidRPr="00D50E91">
        <w:t xml:space="preserve"> 30</w:t>
      </w:r>
      <w:r w:rsidR="003528A8">
        <w:t>-</w:t>
      </w:r>
      <w:r w:rsidRPr="00D50E91">
        <w:t>C tűzállósági teljesítményűek legyenek.”</w:t>
      </w:r>
    </w:p>
    <w:p w:rsidR="00C9769F" w:rsidRPr="00D50E91" w:rsidRDefault="00C9769F" w:rsidP="00C9769F">
      <w:pPr>
        <w:jc w:val="both"/>
      </w:pPr>
    </w:p>
    <w:p w:rsidR="00C9769F" w:rsidRPr="00D50E91" w:rsidRDefault="00C9769F" w:rsidP="00C9769F">
      <w:pPr>
        <w:jc w:val="both"/>
      </w:pPr>
      <w:r w:rsidRPr="00D50E91">
        <w:t>(2) Az R. 37. § a következő (5) és (6) bekezdéssel egészül ki:</w:t>
      </w:r>
    </w:p>
    <w:p w:rsidR="00C9769F" w:rsidRPr="00D50E91" w:rsidRDefault="00C9769F" w:rsidP="00C9769F">
      <w:pPr>
        <w:jc w:val="both"/>
      </w:pPr>
    </w:p>
    <w:p w:rsidR="00C9769F" w:rsidRPr="00D50E91" w:rsidRDefault="00C9769F" w:rsidP="00C9769F">
      <w:pPr>
        <w:jc w:val="both"/>
      </w:pPr>
      <w:r w:rsidRPr="00D50E91">
        <w:t>„(5) Elegendő a lakórendeltetésre vonatkozó követelmények betartása a szociális vagy gyermekvédelmi ellátás keretében működő szállás vagy saját otthont pótló, helyettesítő intézmény esetén akkor, ha</w:t>
      </w:r>
    </w:p>
    <w:p w:rsidR="00C9769F" w:rsidRPr="00D50E91" w:rsidRDefault="00C9769F" w:rsidP="00C9769F">
      <w:pPr>
        <w:jc w:val="both"/>
      </w:pPr>
      <w:r w:rsidRPr="00D50E91">
        <w:t>a) gyermekvédelmi ellátás esetén az ellátott, gondozott személyek, valamint a felügyeletüket, szükség szerinti mentésüket ellátó személyek aránya legfeljebb 5:1 és a felügyeletet folyamatosan ellátják, valamint a (6) bekezdésben foglaltak teljesülnek,</w:t>
      </w:r>
    </w:p>
    <w:p w:rsidR="00C9769F" w:rsidRPr="00D50E91" w:rsidRDefault="00C9769F" w:rsidP="00C9769F">
      <w:pPr>
        <w:jc w:val="both"/>
      </w:pPr>
      <w:r w:rsidRPr="00D50E91">
        <w:t>b) szociális ellátás esetén a szállás, intézmény legfeljebb 12 fő fogyatékos személy, pszichiátriai beteg, szenvedélybeteg, hajléktalan személy lakhatását biztosítja.</w:t>
      </w:r>
    </w:p>
    <w:p w:rsidR="00C9769F" w:rsidRPr="00D50E91" w:rsidRDefault="00C9769F" w:rsidP="00C9769F">
      <w:pPr>
        <w:jc w:val="both"/>
      </w:pPr>
    </w:p>
    <w:p w:rsidR="00C9769F" w:rsidRPr="00D50E91" w:rsidRDefault="00C9769F" w:rsidP="00C9769F">
      <w:pPr>
        <w:jc w:val="both"/>
      </w:pPr>
      <w:r w:rsidRPr="00D50E91">
        <w:t>„(6) A jellemzően 6 év alatti korosztályba tartozó gyermekek részére szolgáló helyiség a földszinten vagy a kijárati szinten, valamint a földszint, kijárati szint feletti következő, az annál legfeljebb 7,0 méterrel magasabban elhelyezkedő szinten alakítható ki.”</w:t>
      </w:r>
    </w:p>
    <w:p w:rsidR="00C9769F" w:rsidRPr="00D50E91" w:rsidRDefault="00C9769F" w:rsidP="00C9769F">
      <w:pPr>
        <w:jc w:val="both"/>
      </w:pPr>
    </w:p>
    <w:p w:rsidR="00C9769F" w:rsidRPr="00D50E91" w:rsidRDefault="00C9769F" w:rsidP="00C9769F">
      <w:pPr>
        <w:keepNext/>
        <w:numPr>
          <w:ilvl w:val="0"/>
          <w:numId w:val="2"/>
        </w:numPr>
        <w:spacing w:line="276" w:lineRule="auto"/>
        <w:ind w:left="0" w:firstLine="0"/>
        <w:jc w:val="center"/>
        <w:outlineLvl w:val="1"/>
        <w:rPr>
          <w:b/>
          <w:bCs/>
        </w:rPr>
      </w:pPr>
      <w:r w:rsidRPr="00D50E91">
        <w:rPr>
          <w:b/>
          <w:bCs/>
        </w:rPr>
        <w:t>§</w:t>
      </w:r>
    </w:p>
    <w:p w:rsidR="00C9769F" w:rsidRPr="00D50E91" w:rsidRDefault="00C9769F" w:rsidP="00C9769F">
      <w:pPr>
        <w:jc w:val="both"/>
      </w:pPr>
    </w:p>
    <w:p w:rsidR="00C9769F" w:rsidRPr="00D50E91" w:rsidRDefault="00C9769F" w:rsidP="00C9769F">
      <w:pPr>
        <w:jc w:val="both"/>
      </w:pPr>
      <w:r w:rsidRPr="00D50E91">
        <w:t>Az R. 15. alcím címe helyébe a következő alcím cím lép:</w:t>
      </w:r>
    </w:p>
    <w:p w:rsidR="00C9769F" w:rsidRPr="00D50E91" w:rsidRDefault="00C9769F" w:rsidP="00C9769F">
      <w:pPr>
        <w:jc w:val="both"/>
      </w:pPr>
    </w:p>
    <w:p w:rsidR="00C9769F" w:rsidRPr="00D50E91" w:rsidRDefault="00C9769F" w:rsidP="00C9769F">
      <w:pPr>
        <w:jc w:val="center"/>
        <w:rPr>
          <w:b/>
        </w:rPr>
      </w:pPr>
      <w:r w:rsidRPr="00D50E91">
        <w:t>„</w:t>
      </w:r>
      <w:r w:rsidRPr="00D50E91">
        <w:rPr>
          <w:b/>
        </w:rPr>
        <w:t>15. Oktatási, nevelési, gyermekfoglalkoztató, gyermekek napközbeni ellátását biztosító, továbbá játszóház rendeltetés</w:t>
      </w:r>
      <w:r w:rsidRPr="00D50E91">
        <w:t>”</w:t>
      </w:r>
    </w:p>
    <w:p w:rsidR="00C9769F" w:rsidRPr="00D50E91" w:rsidRDefault="00C9769F" w:rsidP="00C9769F">
      <w:pPr>
        <w:jc w:val="both"/>
      </w:pPr>
    </w:p>
    <w:p w:rsidR="00C9769F" w:rsidRPr="00D50E91" w:rsidRDefault="00C9769F" w:rsidP="00C9769F">
      <w:pPr>
        <w:pStyle w:val="Jszszakasz"/>
      </w:pPr>
      <w:r w:rsidRPr="00D50E91">
        <w:t>§</w:t>
      </w:r>
    </w:p>
    <w:p w:rsidR="00C9769F" w:rsidRPr="00D50E91" w:rsidRDefault="00C9769F" w:rsidP="00C9769F">
      <w:pPr>
        <w:jc w:val="both"/>
      </w:pPr>
    </w:p>
    <w:p w:rsidR="00C9769F" w:rsidRPr="00D50E91" w:rsidRDefault="00C9769F" w:rsidP="00C9769F">
      <w:pPr>
        <w:jc w:val="both"/>
      </w:pPr>
      <w:r w:rsidRPr="00D50E91">
        <w:t>(1) Az R. 38. §</w:t>
      </w:r>
      <w:r w:rsidR="003528A8">
        <w:t>-</w:t>
      </w:r>
      <w:r w:rsidRPr="00D50E91">
        <w:t>a helyébe a következő rendelkezés lép:</w:t>
      </w:r>
    </w:p>
    <w:p w:rsidR="00C9769F" w:rsidRPr="00D50E91" w:rsidRDefault="00C9769F" w:rsidP="00C9769F">
      <w:pPr>
        <w:jc w:val="both"/>
      </w:pPr>
    </w:p>
    <w:p w:rsidR="00C9769F" w:rsidRPr="00D50E91" w:rsidRDefault="00C9769F" w:rsidP="00C9769F">
      <w:pPr>
        <w:jc w:val="both"/>
      </w:pPr>
      <w:r w:rsidRPr="00D50E91">
        <w:t>„(1) Bölcsődei rendeltetés, továbbá a jellemzően 3 év alatti gyermekek napközbeni ellátására szolgáló helyiség kizárólag a földszinten vagy a kijárati szinten alakítható ki.</w:t>
      </w:r>
    </w:p>
    <w:p w:rsidR="00C9769F" w:rsidRPr="00D50E91" w:rsidRDefault="00C9769F" w:rsidP="00C9769F">
      <w:pPr>
        <w:jc w:val="both"/>
      </w:pPr>
    </w:p>
    <w:p w:rsidR="00C9769F" w:rsidRPr="00D50E91" w:rsidRDefault="00C9769F" w:rsidP="00C9769F">
      <w:pPr>
        <w:jc w:val="both"/>
      </w:pPr>
      <w:r w:rsidRPr="00D50E91">
        <w:t>(2) Óvodai rendeltetés, továbbá a jellemzően 3</w:t>
      </w:r>
      <w:r w:rsidR="003528A8">
        <w:t>-</w:t>
      </w:r>
      <w:r w:rsidRPr="00D50E91">
        <w:t>6 év közötti gyermekek napközbeni ellátására szolgáló helyiség kizárólag a földszinten vagy a kijárati szinten, valamint a földszint, kijárati szint feletti következő, az annál legfeljebb 7,0 méterrel magasabban elhelyezkedő szinten alakítható ki.”</w:t>
      </w:r>
    </w:p>
    <w:p w:rsidR="00C9769F" w:rsidRPr="00D50E91" w:rsidRDefault="00C9769F" w:rsidP="00C9769F">
      <w:pPr>
        <w:jc w:val="both"/>
      </w:pPr>
    </w:p>
    <w:p w:rsidR="00C9769F" w:rsidRPr="00D50E91" w:rsidRDefault="00C9769F" w:rsidP="00C9769F">
      <w:pPr>
        <w:jc w:val="both"/>
      </w:pPr>
      <w:r w:rsidRPr="00D50E91">
        <w:t>(3) A gyermekek elhelyezésére, huzamos tartózkodására szolgáló helyiség</w:t>
      </w:r>
    </w:p>
    <w:p w:rsidR="00C9769F" w:rsidRPr="00D50E91" w:rsidRDefault="00C9769F" w:rsidP="00C9769F">
      <w:pPr>
        <w:jc w:val="both"/>
      </w:pPr>
      <w:r w:rsidRPr="00D50E91">
        <w:t>a) falburkolata KK kockázati osztályú kockázati egység esetén legalább B</w:t>
      </w:r>
      <w:r w:rsidR="003528A8">
        <w:t>-</w:t>
      </w:r>
      <w:r w:rsidRPr="00D50E91">
        <w:t>s1, d0, MK kockázati osztályú kockázati egység esetén legalább A2</w:t>
      </w:r>
      <w:r w:rsidR="003528A8">
        <w:t>-</w:t>
      </w:r>
      <w:r w:rsidRPr="00D50E91">
        <w:t>s1,d0 tűzvédelmi osztályú,</w:t>
      </w:r>
    </w:p>
    <w:p w:rsidR="00C9769F" w:rsidRPr="00D50E91" w:rsidRDefault="00C9769F" w:rsidP="00C9769F">
      <w:pPr>
        <w:jc w:val="both"/>
      </w:pPr>
      <w:r w:rsidRPr="00D50E91">
        <w:lastRenderedPageBreak/>
        <w:t>b) mennyezetburkolata KK kockázati osztályú kockázati egység esetén legalább B</w:t>
      </w:r>
      <w:r w:rsidR="003528A8">
        <w:t>-</w:t>
      </w:r>
      <w:r w:rsidRPr="00D50E91">
        <w:t>s1, d0, MK osztályú kockázati egység esetén legalább A2</w:t>
      </w:r>
      <w:r w:rsidR="003528A8">
        <w:t>-</w:t>
      </w:r>
      <w:r w:rsidRPr="00D50E91">
        <w:t>s1, d0, tűzvédelmi osztályú,</w:t>
      </w:r>
    </w:p>
    <w:p w:rsidR="00C9769F" w:rsidRPr="00D50E91" w:rsidRDefault="00C9769F" w:rsidP="00C9769F">
      <w:pPr>
        <w:jc w:val="both"/>
      </w:pPr>
      <w:r w:rsidRPr="00D50E91">
        <w:t>c) padlóburkolata KK és MK kockázati osztályú kockázati egység esetén legalább C</w:t>
      </w:r>
      <w:r w:rsidRPr="00D50E91">
        <w:rPr>
          <w:vertAlign w:val="subscript"/>
        </w:rPr>
        <w:t>fl</w:t>
      </w:r>
      <w:r w:rsidR="003528A8">
        <w:t>-</w:t>
      </w:r>
      <w:r w:rsidRPr="00D50E91">
        <w:t>s1 tűzvédelmi osztályú, és</w:t>
      </w:r>
    </w:p>
    <w:p w:rsidR="00C9769F" w:rsidRPr="00D50E91" w:rsidRDefault="00C9769F" w:rsidP="00C9769F">
      <w:r w:rsidRPr="00D50E91">
        <w:t>d) belső oldali hő</w:t>
      </w:r>
      <w:r w:rsidR="003528A8">
        <w:t>-</w:t>
      </w:r>
      <w:r w:rsidRPr="00D50E91">
        <w:t xml:space="preserve"> és hangszigetelése A1 vagy A2 tűzvédelmi osztályú</w:t>
      </w:r>
    </w:p>
    <w:p w:rsidR="00C9769F" w:rsidRPr="00D50E91" w:rsidRDefault="00C9769F" w:rsidP="00C9769F">
      <w:r w:rsidRPr="00D50E91">
        <w:t>legyen.</w:t>
      </w:r>
    </w:p>
    <w:p w:rsidR="00C9769F" w:rsidRPr="00D50E91" w:rsidRDefault="00C9769F" w:rsidP="00225DD7">
      <w:pPr>
        <w:jc w:val="both"/>
      </w:pPr>
    </w:p>
    <w:p w:rsidR="00C9769F" w:rsidRPr="00D50E91" w:rsidRDefault="00C9769F" w:rsidP="00225DD7">
      <w:pPr>
        <w:jc w:val="both"/>
      </w:pPr>
      <w:r w:rsidRPr="00D50E91">
        <w:t>(4) Ha a rendeltetési egység teljes területét beépített automatikus tűzjelző és oltóberendezés védi, akkor az MK osztályba tartozó rendeltetés esetén A2 tűzvédelmi osztály helyett megengedett a B tűzvédelmi osztályú anyagok használata.</w:t>
      </w:r>
    </w:p>
    <w:p w:rsidR="00C9769F" w:rsidRPr="00D50E91" w:rsidRDefault="00C9769F" w:rsidP="00C9769F"/>
    <w:p w:rsidR="00C9769F" w:rsidRPr="00D50E91" w:rsidRDefault="00C9769F" w:rsidP="00C9769F">
      <w:pPr>
        <w:jc w:val="both"/>
      </w:pPr>
      <w:r w:rsidRPr="00D50E91">
        <w:t xml:space="preserve">(5) A jellemzően 6 év alatti gyermekek napközbeni ellátására szolgáló rendeltetés esetében a lakórendeltetésre kiürítésre vonatkozó általános tűzvédelmi követelményeket kell betartani, ha </w:t>
      </w:r>
    </w:p>
    <w:p w:rsidR="00C9769F" w:rsidRPr="00D50E91" w:rsidRDefault="00C9769F" w:rsidP="00C9769F">
      <w:pPr>
        <w:jc w:val="both"/>
      </w:pPr>
      <w:r w:rsidRPr="00D50E91">
        <w:t>a) a gyermekek ellátására szolgáló helyiséget a földszinten, kijárati szinten helyezik el, valamint a gyermekek és a gyermekek felügyeletét, szükség szerinti mentését ellátó személyek aránya legfeljebb 5:1,</w:t>
      </w:r>
    </w:p>
    <w:p w:rsidR="00C9769F" w:rsidRPr="00D50E91" w:rsidRDefault="00C9769F" w:rsidP="00C9769F">
      <w:pPr>
        <w:jc w:val="both"/>
      </w:pPr>
      <w:r w:rsidRPr="00D50E91">
        <w:t>b) a gyermekek ellátására szolgáló helyiséget a földszinten, kijárati szinten, vagy a földszint, kijárati szint feletti következő, az annál legfeljebb 7,0 méterrel magasabban elhelyezkedő szinten helyezik el, a gyermekek felügyeletét, szükség szerinti mentését ellátó személyek száma legalább 2 fő, a gyermekek száma legfeljebb 5 fő,</w:t>
      </w:r>
    </w:p>
    <w:p w:rsidR="00C9769F" w:rsidRPr="00D50E91" w:rsidRDefault="00C9769F" w:rsidP="00C9769F">
      <w:pPr>
        <w:jc w:val="both"/>
      </w:pPr>
      <w:r w:rsidRPr="00D50E91">
        <w:t>és a felügyeletet, mentést ellátó személyek folyamatosan a gyermekekkel vannak.</w:t>
      </w:r>
    </w:p>
    <w:p w:rsidR="00C9769F" w:rsidRPr="00D50E91" w:rsidRDefault="00C9769F" w:rsidP="00C9769F">
      <w:pPr>
        <w:jc w:val="both"/>
      </w:pPr>
    </w:p>
    <w:p w:rsidR="00C9769F" w:rsidRPr="00D50E91" w:rsidRDefault="00C9769F" w:rsidP="00C9769F">
      <w:pPr>
        <w:jc w:val="both"/>
      </w:pPr>
      <w:r w:rsidRPr="00D50E91">
        <w:t>(6) Az (5) bekezdés szerinti rendeltetés a kockázati egység részét képezheti abban az esetben is, ha az 1. melléklet 4. táblázatában foglalt létszám</w:t>
      </w:r>
      <w:r w:rsidR="003528A8">
        <w:t>-</w:t>
      </w:r>
      <w:r w:rsidRPr="00D50E91">
        <w:t xml:space="preserve"> és alapterületi értékektől eltérnek.</w:t>
      </w:r>
    </w:p>
    <w:p w:rsidR="00C9769F" w:rsidRPr="00D50E91" w:rsidRDefault="00C9769F" w:rsidP="00C9769F">
      <w:pPr>
        <w:jc w:val="both"/>
      </w:pPr>
    </w:p>
    <w:p w:rsidR="00C9769F" w:rsidRPr="00D50E91" w:rsidRDefault="00C9769F" w:rsidP="00C9769F">
      <w:pPr>
        <w:jc w:val="both"/>
      </w:pPr>
      <w:r w:rsidRPr="00D50E91">
        <w:t>(7) A 200 m</w:t>
      </w:r>
      <w:r w:rsidRPr="00D50E91">
        <w:rPr>
          <w:vertAlign w:val="superscript"/>
        </w:rPr>
        <w:t>2</w:t>
      </w:r>
      <w:r w:rsidR="003528A8">
        <w:t>-</w:t>
      </w:r>
      <w:r w:rsidRPr="00D50E91">
        <w:t>nél nagyobb alapterületű, gyermekek, gyermekcsoportok szórakozására szolgáló, játszóeszközöket tartalmazó játszóház rendeltetésű helyiséget hő és füst elleni védelemmel kell ellátni. Gravitációs füstelvezetés esetén a helyiség alapterületének 1%</w:t>
      </w:r>
      <w:r w:rsidR="003528A8">
        <w:t>-</w:t>
      </w:r>
      <w:r w:rsidRPr="00D50E91">
        <w:t>át elérő hatásos nyílásfelületű hő</w:t>
      </w:r>
      <w:r w:rsidR="003528A8">
        <w:t>-</w:t>
      </w:r>
      <w:r w:rsidRPr="00D50E91">
        <w:t xml:space="preserve"> és füstelvezető, valamint légpótló felületet kell kialakítani. Gépi hő</w:t>
      </w:r>
      <w:r w:rsidR="003528A8">
        <w:t>-</w:t>
      </w:r>
      <w:r w:rsidRPr="00D50E91">
        <w:t xml:space="preserve"> és füstelvezetés esetén a szükséges elszívási és légpótlási teljesítmény 2 m</w:t>
      </w:r>
      <w:r w:rsidRPr="00D50E91">
        <w:rPr>
          <w:vertAlign w:val="superscript"/>
        </w:rPr>
        <w:t>3</w:t>
      </w:r>
      <w:r w:rsidRPr="00D50E91">
        <w:t>/s legyen a gravitációs füstelvezetéshez és légpótláshoz tartozó hatásos nyílásfelület minden m</w:t>
      </w:r>
      <w:r w:rsidRPr="00D50E91">
        <w:rPr>
          <w:vertAlign w:val="superscript"/>
        </w:rPr>
        <w:t>2</w:t>
      </w:r>
      <w:r w:rsidR="003528A8">
        <w:t>-</w:t>
      </w:r>
      <w:r w:rsidRPr="00D50E91">
        <w:t>ére számítva.</w:t>
      </w:r>
    </w:p>
    <w:p w:rsidR="00C9769F" w:rsidRPr="00D50E91" w:rsidRDefault="00C9769F" w:rsidP="00C9769F">
      <w:pPr>
        <w:jc w:val="both"/>
      </w:pPr>
    </w:p>
    <w:p w:rsidR="00C9769F" w:rsidRPr="00D50E91" w:rsidRDefault="00C9769F" w:rsidP="00C9769F">
      <w:pPr>
        <w:jc w:val="both"/>
      </w:pPr>
      <w:r w:rsidRPr="00D50E91">
        <w:t>(8) A 20 fő feletti befogadóképességű tantermet, előadótermet, foglalkoztató és hasonló rendeltetésű helyiséget legalább tűzgátló válaszfallal kell határolni a szomszédos helyiségektől.”</w:t>
      </w:r>
    </w:p>
    <w:p w:rsidR="00C9769F" w:rsidRPr="00D50E91" w:rsidRDefault="00C9769F" w:rsidP="00C9769F">
      <w:pPr>
        <w:jc w:val="both"/>
      </w:pPr>
    </w:p>
    <w:p w:rsidR="00C9769F" w:rsidRPr="00D50E91" w:rsidRDefault="00C9769F" w:rsidP="00C9769F">
      <w:pPr>
        <w:keepNext/>
        <w:numPr>
          <w:ilvl w:val="0"/>
          <w:numId w:val="2"/>
        </w:numPr>
        <w:spacing w:line="276" w:lineRule="auto"/>
        <w:ind w:left="0" w:firstLine="0"/>
        <w:jc w:val="center"/>
        <w:outlineLvl w:val="1"/>
        <w:rPr>
          <w:b/>
          <w:bCs/>
        </w:rPr>
      </w:pPr>
      <w:r w:rsidRPr="00D50E91">
        <w:rPr>
          <w:b/>
          <w:bCs/>
        </w:rPr>
        <w:t>§</w:t>
      </w:r>
    </w:p>
    <w:p w:rsidR="00C9769F" w:rsidRPr="00D50E91" w:rsidRDefault="00C9769F" w:rsidP="00C9769F">
      <w:pPr>
        <w:jc w:val="both"/>
      </w:pPr>
    </w:p>
    <w:p w:rsidR="00C9769F" w:rsidRPr="00D50E91" w:rsidRDefault="00C9769F" w:rsidP="00C9769F">
      <w:pPr>
        <w:jc w:val="both"/>
      </w:pPr>
      <w:r w:rsidRPr="00D50E91">
        <w:t>Az R. 40. § (1)</w:t>
      </w:r>
      <w:r w:rsidR="003528A8">
        <w:t>-</w:t>
      </w:r>
      <w:r w:rsidRPr="00D50E91">
        <w:t>(2) bekezdése helyébe a következő rendelkezések lépnek:</w:t>
      </w:r>
    </w:p>
    <w:p w:rsidR="00C9769F" w:rsidRPr="00D50E91" w:rsidRDefault="00C9769F" w:rsidP="00C9769F">
      <w:pPr>
        <w:jc w:val="both"/>
      </w:pPr>
    </w:p>
    <w:p w:rsidR="00C9769F" w:rsidRPr="00D50E91" w:rsidRDefault="00C9769F" w:rsidP="00C9769F">
      <w:pPr>
        <w:jc w:val="both"/>
      </w:pPr>
      <w:r w:rsidRPr="00D50E91">
        <w:t xml:space="preserve">„(1) A műtőket vagy központi műtői területeket </w:t>
      </w:r>
      <w:r w:rsidR="003528A8">
        <w:t>-</w:t>
      </w:r>
      <w:r w:rsidRPr="00D50E91">
        <w:t xml:space="preserve"> több műtőegység esetén </w:t>
      </w:r>
      <w:r w:rsidR="003528A8">
        <w:t>-</w:t>
      </w:r>
      <w:r w:rsidRPr="00D50E91">
        <w:t xml:space="preserve"> a technológiailag, valamint sterilitás szempontjából hozzá kapcsolódó gépészeti, villamos, orvostechnológiai, továbbá ébredő, őrző és hasonló betegellátó helyiségekkel együtt önálló tűzszakaszban kell elhelyezni úgy, hogy a műtők hőellátása és villamosenergia</w:t>
      </w:r>
      <w:r w:rsidR="003528A8">
        <w:t>-</w:t>
      </w:r>
      <w:r w:rsidRPr="00D50E91">
        <w:t>ellátása, a légtechnikai és a műtéteket kiszolgáló bármely egyéb rendszerének működőképessége a szomszédos tűzszakaszok esetleges tüze esetén is biztosított legyen. A szükséges működési időt az orvos</w:t>
      </w:r>
      <w:r w:rsidR="003528A8">
        <w:t>-</w:t>
      </w:r>
      <w:r w:rsidRPr="00D50E91">
        <w:t>technológiai terv alapján kell meghatározni.</w:t>
      </w:r>
    </w:p>
    <w:p w:rsidR="00C9769F" w:rsidRPr="00D50E91" w:rsidRDefault="00C9769F" w:rsidP="00C9769F">
      <w:pPr>
        <w:jc w:val="both"/>
      </w:pPr>
    </w:p>
    <w:p w:rsidR="00C9769F" w:rsidRPr="00D50E91" w:rsidRDefault="00C9769F" w:rsidP="00C9769F">
      <w:pPr>
        <w:jc w:val="both"/>
      </w:pPr>
      <w:r w:rsidRPr="00D50E91">
        <w:t>(2) Az előkészítéssel menthető vagy előkészítéssel sem menthető személyek huzamos tartózkodására szolgáló helyiségeit, helyiségcsoportjait minden más helyiségtől tűzgátló építményszerkezettel és legalább EI</w:t>
      </w:r>
      <w:r w:rsidRPr="00D50E91">
        <w:rPr>
          <w:vertAlign w:val="subscript"/>
        </w:rPr>
        <w:t>2</w:t>
      </w:r>
      <w:r w:rsidRPr="00D50E91">
        <w:t xml:space="preserve"> 30</w:t>
      </w:r>
      <w:r w:rsidR="003528A8">
        <w:t>-</w:t>
      </w:r>
      <w:r w:rsidRPr="00D50E91">
        <w:t>C tűzállósági teljesítményű, és S</w:t>
      </w:r>
      <w:r w:rsidRPr="00D50E91">
        <w:rPr>
          <w:vertAlign w:val="subscript"/>
        </w:rPr>
        <w:t>200</w:t>
      </w:r>
      <w:r w:rsidRPr="00D50E91">
        <w:t xml:space="preserve"> füstgátló képességű ajtóval kell leválasztani.”</w:t>
      </w:r>
    </w:p>
    <w:p w:rsidR="00C9769F" w:rsidRPr="00D50E91" w:rsidRDefault="00C9769F" w:rsidP="00C9769F">
      <w:pPr>
        <w:jc w:val="both"/>
      </w:pPr>
    </w:p>
    <w:p w:rsidR="00C9769F" w:rsidRPr="00D50E91" w:rsidRDefault="00C9769F" w:rsidP="00C9769F">
      <w:pPr>
        <w:keepNext/>
        <w:numPr>
          <w:ilvl w:val="0"/>
          <w:numId w:val="2"/>
        </w:numPr>
        <w:spacing w:line="276" w:lineRule="auto"/>
        <w:ind w:left="0" w:firstLine="0"/>
        <w:jc w:val="center"/>
        <w:outlineLvl w:val="1"/>
        <w:rPr>
          <w:b/>
          <w:bCs/>
        </w:rPr>
      </w:pPr>
      <w:r w:rsidRPr="00D50E91">
        <w:rPr>
          <w:b/>
          <w:bCs/>
        </w:rPr>
        <w:lastRenderedPageBreak/>
        <w:t>§</w:t>
      </w:r>
    </w:p>
    <w:p w:rsidR="00C9769F" w:rsidRPr="00D50E91" w:rsidRDefault="00C9769F" w:rsidP="00C9769F">
      <w:pPr>
        <w:jc w:val="both"/>
      </w:pPr>
    </w:p>
    <w:p w:rsidR="00C9769F" w:rsidRPr="00D50E91" w:rsidRDefault="00C9769F" w:rsidP="00C9769F">
      <w:pPr>
        <w:jc w:val="both"/>
      </w:pPr>
      <w:r w:rsidRPr="00D50E91">
        <w:t>Az R. 41. §</w:t>
      </w:r>
      <w:r w:rsidR="003528A8">
        <w:t>-</w:t>
      </w:r>
      <w:r w:rsidRPr="00D50E91">
        <w:t>a helyébe a következő rendelkezés lép:</w:t>
      </w:r>
    </w:p>
    <w:p w:rsidR="00C9769F" w:rsidRPr="00D50E91" w:rsidRDefault="00C9769F" w:rsidP="00C9769F">
      <w:pPr>
        <w:jc w:val="both"/>
      </w:pPr>
    </w:p>
    <w:p w:rsidR="00C9769F" w:rsidRPr="00D50E91" w:rsidRDefault="00C9769F" w:rsidP="00C9769F">
      <w:pPr>
        <w:jc w:val="both"/>
      </w:pPr>
      <w:r w:rsidRPr="00D50E91">
        <w:t>„41. § A szociális rendeltetésre vonatkozó tűzvédelmi követelményeket a rendeltetés jellege, jellemzői figyelembevételével, a jelen fejezetben szabályozott rendeltetések tűzvédelmi követelményei alapján kell megállapítani.”</w:t>
      </w:r>
    </w:p>
    <w:p w:rsidR="00C9769F" w:rsidRPr="00D50E91" w:rsidRDefault="00C9769F" w:rsidP="00C9769F">
      <w:pPr>
        <w:jc w:val="both"/>
      </w:pPr>
    </w:p>
    <w:p w:rsidR="00C9769F" w:rsidRPr="00D50E91" w:rsidRDefault="00C9769F" w:rsidP="00C9769F">
      <w:pPr>
        <w:keepNext/>
        <w:numPr>
          <w:ilvl w:val="0"/>
          <w:numId w:val="2"/>
        </w:numPr>
        <w:spacing w:line="276" w:lineRule="auto"/>
        <w:ind w:left="0" w:firstLine="0"/>
        <w:jc w:val="center"/>
        <w:outlineLvl w:val="1"/>
        <w:rPr>
          <w:b/>
          <w:bCs/>
        </w:rPr>
      </w:pPr>
      <w:r w:rsidRPr="00D50E91">
        <w:rPr>
          <w:b/>
          <w:bCs/>
        </w:rPr>
        <w:t>§</w:t>
      </w:r>
    </w:p>
    <w:p w:rsidR="00C9769F" w:rsidRPr="00D50E91" w:rsidRDefault="00C9769F" w:rsidP="00C9769F">
      <w:pPr>
        <w:jc w:val="both"/>
      </w:pPr>
    </w:p>
    <w:p w:rsidR="00C9769F" w:rsidRPr="00D50E91" w:rsidRDefault="00C9769F" w:rsidP="00C9769F">
      <w:pPr>
        <w:jc w:val="both"/>
      </w:pPr>
      <w:r w:rsidRPr="00D50E91">
        <w:t>Az R. 19. alcím címe helyébe a következő alcím cím lép:</w:t>
      </w:r>
    </w:p>
    <w:p w:rsidR="00C9769F" w:rsidRPr="00D50E91" w:rsidRDefault="00C9769F" w:rsidP="00C9769F">
      <w:pPr>
        <w:jc w:val="both"/>
      </w:pPr>
    </w:p>
    <w:p w:rsidR="00C9769F" w:rsidRPr="00D50E91" w:rsidRDefault="00C9769F" w:rsidP="00C9769F">
      <w:pPr>
        <w:jc w:val="center"/>
      </w:pPr>
      <w:r w:rsidRPr="00D50E91">
        <w:t>„</w:t>
      </w:r>
      <w:r w:rsidRPr="00D50E91">
        <w:rPr>
          <w:b/>
        </w:rPr>
        <w:t>19. Nézőtérrel vagy anélkül kialakított rendezvényterek, továbbá művelődési, kulturális, hitéleti rendeltetés</w:t>
      </w:r>
      <w:r w:rsidRPr="00D50E91">
        <w:t>”</w:t>
      </w:r>
    </w:p>
    <w:p w:rsidR="00C9769F" w:rsidRPr="00D50E91" w:rsidRDefault="00C9769F" w:rsidP="00C9769F">
      <w:pPr>
        <w:jc w:val="both"/>
      </w:pPr>
    </w:p>
    <w:p w:rsidR="00C9769F" w:rsidRPr="00D50E91" w:rsidRDefault="00C9769F" w:rsidP="00C9769F">
      <w:pPr>
        <w:keepNext/>
        <w:numPr>
          <w:ilvl w:val="0"/>
          <w:numId w:val="2"/>
        </w:numPr>
        <w:spacing w:line="276" w:lineRule="auto"/>
        <w:ind w:left="0" w:firstLine="0"/>
        <w:jc w:val="center"/>
        <w:outlineLvl w:val="1"/>
        <w:rPr>
          <w:b/>
          <w:bCs/>
        </w:rPr>
      </w:pPr>
      <w:r w:rsidRPr="00D50E91">
        <w:rPr>
          <w:b/>
          <w:bCs/>
        </w:rPr>
        <w:t>§</w:t>
      </w:r>
    </w:p>
    <w:p w:rsidR="00C9769F" w:rsidRPr="00D50E91" w:rsidRDefault="00C9769F" w:rsidP="00C9769F">
      <w:pPr>
        <w:jc w:val="both"/>
      </w:pPr>
    </w:p>
    <w:p w:rsidR="00C9769F" w:rsidRPr="00D50E91" w:rsidRDefault="00C9769F" w:rsidP="00C9769F">
      <w:pPr>
        <w:jc w:val="both"/>
      </w:pPr>
      <w:r w:rsidRPr="00D50E91">
        <w:t>(1) Az R. 42. § (3) bekezdése helyébe a következő rendelkezés lép:</w:t>
      </w:r>
    </w:p>
    <w:p w:rsidR="00C9769F" w:rsidRPr="00D50E91" w:rsidRDefault="00C9769F" w:rsidP="00C9769F">
      <w:pPr>
        <w:jc w:val="both"/>
      </w:pPr>
    </w:p>
    <w:p w:rsidR="00C9769F" w:rsidRPr="00D50E91" w:rsidRDefault="00C9769F" w:rsidP="00C9769F">
      <w:pPr>
        <w:jc w:val="both"/>
      </w:pPr>
      <w:r w:rsidRPr="00D50E91">
        <w:t>„(3) A díszletanyagok és a rendezvény megtartásához kapcsolódó egyéb éghető anyagú kellékek tárolására szolgáló, 100 m</w:t>
      </w:r>
      <w:r w:rsidRPr="00D50E91">
        <w:rPr>
          <w:vertAlign w:val="superscript"/>
        </w:rPr>
        <w:t>2</w:t>
      </w:r>
      <w:r w:rsidR="003528A8">
        <w:t>-</w:t>
      </w:r>
      <w:r w:rsidRPr="00D50E91">
        <w:t>nél nagyobb alapterületű helyiséget, közös bejáratú tároló helyiségcsoportot tűzgátló építményszerkezetekkel kell elválasztani a szomszédos helyiségektől.”</w:t>
      </w:r>
    </w:p>
    <w:p w:rsidR="00C9769F" w:rsidRPr="00D50E91" w:rsidRDefault="00C9769F" w:rsidP="00C9769F">
      <w:pPr>
        <w:jc w:val="both"/>
      </w:pPr>
    </w:p>
    <w:p w:rsidR="00C9769F" w:rsidRPr="00D50E91" w:rsidRDefault="00C9769F" w:rsidP="00C9769F">
      <w:pPr>
        <w:jc w:val="both"/>
      </w:pPr>
      <w:r w:rsidRPr="00D50E91">
        <w:t>(2) Az R. 42. § (5) bekezdése helyébe a következő rendelkezés lép:</w:t>
      </w:r>
    </w:p>
    <w:p w:rsidR="00C9769F" w:rsidRPr="00D50E91" w:rsidRDefault="00C9769F" w:rsidP="00C9769F">
      <w:pPr>
        <w:jc w:val="both"/>
      </w:pPr>
    </w:p>
    <w:p w:rsidR="00C9769F" w:rsidRPr="00D50E91" w:rsidRDefault="00C9769F" w:rsidP="00C9769F">
      <w:pPr>
        <w:jc w:val="both"/>
      </w:pPr>
      <w:r w:rsidRPr="00D50E91">
        <w:t>„(5) A nézőtér jellegű elrendezés esetén a székeket, széksorokat 100 főnél több személy befogadására szolgáló helyiségekben úgy kell kialakítani, hogy a kiürítést elmozdulással, feldőléssel ne akadályozzák.”</w:t>
      </w:r>
    </w:p>
    <w:p w:rsidR="00C9769F" w:rsidRPr="00D50E91" w:rsidRDefault="00C9769F" w:rsidP="00C9769F">
      <w:pPr>
        <w:jc w:val="both"/>
      </w:pPr>
    </w:p>
    <w:p w:rsidR="00C9769F" w:rsidRPr="00D50E91" w:rsidRDefault="00C9769F" w:rsidP="00C9769F">
      <w:pPr>
        <w:keepNext/>
        <w:numPr>
          <w:ilvl w:val="0"/>
          <w:numId w:val="2"/>
        </w:numPr>
        <w:spacing w:line="276" w:lineRule="auto"/>
        <w:ind w:left="0" w:firstLine="0"/>
        <w:jc w:val="center"/>
        <w:outlineLvl w:val="1"/>
        <w:rPr>
          <w:b/>
          <w:bCs/>
        </w:rPr>
      </w:pPr>
      <w:r w:rsidRPr="00D50E91">
        <w:rPr>
          <w:b/>
          <w:bCs/>
        </w:rPr>
        <w:t>§</w:t>
      </w:r>
    </w:p>
    <w:p w:rsidR="00C9769F" w:rsidRPr="00D50E91" w:rsidRDefault="00C9769F" w:rsidP="00C9769F">
      <w:pPr>
        <w:jc w:val="both"/>
      </w:pPr>
    </w:p>
    <w:p w:rsidR="00C9769F" w:rsidRPr="00D50E91" w:rsidRDefault="00C9769F" w:rsidP="00C9769F">
      <w:pPr>
        <w:jc w:val="both"/>
      </w:pPr>
      <w:r w:rsidRPr="00D50E91">
        <w:t>Az R. 43. § (1) bekezdése helyébe a következő rendelkezés lép:</w:t>
      </w:r>
    </w:p>
    <w:p w:rsidR="00C9769F" w:rsidRPr="00D50E91" w:rsidRDefault="00C9769F" w:rsidP="00C9769F">
      <w:pPr>
        <w:jc w:val="both"/>
      </w:pPr>
    </w:p>
    <w:p w:rsidR="00C9769F" w:rsidRPr="00D50E91" w:rsidRDefault="00C9769F" w:rsidP="00C9769F">
      <w:pPr>
        <w:jc w:val="both"/>
      </w:pPr>
      <w:r w:rsidRPr="00D50E91">
        <w:t>„(1) KK és MK kockázati osztályú kockázati egység esetén színház, filmszínház rendeltetésnél a 8 m</w:t>
      </w:r>
      <w:r w:rsidR="003528A8">
        <w:t>-</w:t>
      </w:r>
      <w:r w:rsidRPr="00D50E91">
        <w:t xml:space="preserve">t meghaladó belmagasságú színpad esetén, ha a nézőtéren tartózkodók létszáma meghaladja a 300 főt, a közönségforgalmi területeket az üzemi terektől </w:t>
      </w:r>
      <w:r w:rsidR="003528A8">
        <w:t>-</w:t>
      </w:r>
      <w:r w:rsidRPr="00D50E91">
        <w:t xml:space="preserve"> beleértve a színpadot is </w:t>
      </w:r>
      <w:r w:rsidR="003528A8">
        <w:t>-</w:t>
      </w:r>
      <w:r w:rsidRPr="00D50E91">
        <w:t xml:space="preserve"> külön tűzszakaszként kell kialakítani.”</w:t>
      </w:r>
    </w:p>
    <w:p w:rsidR="00C9769F" w:rsidRPr="00D50E91" w:rsidRDefault="00C9769F" w:rsidP="00C9769F">
      <w:pPr>
        <w:jc w:val="both"/>
      </w:pPr>
    </w:p>
    <w:p w:rsidR="00C9769F" w:rsidRPr="00D50E91" w:rsidRDefault="00C9769F" w:rsidP="00C9769F">
      <w:pPr>
        <w:keepNext/>
        <w:numPr>
          <w:ilvl w:val="0"/>
          <w:numId w:val="2"/>
        </w:numPr>
        <w:spacing w:line="276" w:lineRule="auto"/>
        <w:ind w:left="0" w:firstLine="0"/>
        <w:jc w:val="center"/>
        <w:outlineLvl w:val="1"/>
        <w:rPr>
          <w:b/>
          <w:bCs/>
        </w:rPr>
      </w:pPr>
      <w:r w:rsidRPr="00D50E91">
        <w:rPr>
          <w:b/>
          <w:bCs/>
        </w:rPr>
        <w:t>§</w:t>
      </w:r>
    </w:p>
    <w:p w:rsidR="00C9769F" w:rsidRPr="00D50E91" w:rsidRDefault="00C9769F" w:rsidP="00C9769F">
      <w:pPr>
        <w:jc w:val="both"/>
      </w:pPr>
    </w:p>
    <w:p w:rsidR="00C9769F" w:rsidRPr="00D50E91" w:rsidRDefault="00C9769F" w:rsidP="00C9769F">
      <w:pPr>
        <w:jc w:val="both"/>
      </w:pPr>
      <w:r w:rsidRPr="00D50E91">
        <w:t>Az R. 45. §</w:t>
      </w:r>
      <w:r w:rsidR="003528A8">
        <w:t>-</w:t>
      </w:r>
      <w:r w:rsidRPr="00D50E91">
        <w:t>a a következő (3) bekezdéssel egészül ki:</w:t>
      </w:r>
    </w:p>
    <w:p w:rsidR="00C9769F" w:rsidRPr="00D50E91" w:rsidRDefault="00C9769F" w:rsidP="00C9769F">
      <w:pPr>
        <w:jc w:val="both"/>
      </w:pPr>
    </w:p>
    <w:p w:rsidR="00C9769F" w:rsidRPr="00D50E91" w:rsidRDefault="00C9769F" w:rsidP="00C9769F">
      <w:pPr>
        <w:jc w:val="both"/>
      </w:pPr>
      <w:r w:rsidRPr="00D50E91">
        <w:t>„(3) A fokozottan tűz</w:t>
      </w:r>
      <w:r w:rsidR="003528A8">
        <w:t>-</w:t>
      </w:r>
      <w:r w:rsidRPr="00D50E91">
        <w:t xml:space="preserve"> vagy robbanásveszélyes anyagok, termékek passzív tárolására, forgalmazására szolgáló helyiséget a tárolni kívánt anyag mennyisége alapján, a 17. mellékletben foglaltak figyelembe vételével kell kialakítani.”</w:t>
      </w:r>
    </w:p>
    <w:p w:rsidR="00C9769F" w:rsidRPr="00D50E91" w:rsidRDefault="00C9769F" w:rsidP="00C9769F">
      <w:pPr>
        <w:jc w:val="both"/>
      </w:pPr>
    </w:p>
    <w:p w:rsidR="00C9769F" w:rsidRPr="00D50E91" w:rsidRDefault="00C9769F" w:rsidP="00C9769F">
      <w:pPr>
        <w:keepNext/>
        <w:numPr>
          <w:ilvl w:val="0"/>
          <w:numId w:val="2"/>
        </w:numPr>
        <w:spacing w:line="276" w:lineRule="auto"/>
        <w:ind w:left="0" w:firstLine="0"/>
        <w:jc w:val="center"/>
        <w:outlineLvl w:val="1"/>
        <w:rPr>
          <w:b/>
          <w:bCs/>
        </w:rPr>
      </w:pPr>
      <w:r w:rsidRPr="00D50E91">
        <w:rPr>
          <w:b/>
          <w:bCs/>
        </w:rPr>
        <w:t>§</w:t>
      </w:r>
    </w:p>
    <w:p w:rsidR="00C9769F" w:rsidRPr="00D50E91" w:rsidRDefault="00C9769F" w:rsidP="00C9769F">
      <w:pPr>
        <w:jc w:val="both"/>
      </w:pPr>
    </w:p>
    <w:p w:rsidR="00C9769F" w:rsidRPr="00D50E91" w:rsidRDefault="00C9769F" w:rsidP="00C9769F">
      <w:pPr>
        <w:jc w:val="both"/>
      </w:pPr>
      <w:r w:rsidRPr="00D50E91">
        <w:t>Az R. 48. §</w:t>
      </w:r>
      <w:r w:rsidR="003528A8">
        <w:t>-</w:t>
      </w:r>
      <w:r w:rsidRPr="00D50E91">
        <w:t>a helyébe a következő rendelkezés lép:</w:t>
      </w:r>
    </w:p>
    <w:p w:rsidR="00C9769F" w:rsidRPr="00D50E91" w:rsidRDefault="00C9769F" w:rsidP="00C9769F">
      <w:pPr>
        <w:jc w:val="both"/>
      </w:pPr>
    </w:p>
    <w:p w:rsidR="00C9769F" w:rsidRPr="00D50E91" w:rsidRDefault="00C9769F" w:rsidP="00C9769F">
      <w:pPr>
        <w:jc w:val="both"/>
      </w:pPr>
      <w:r w:rsidRPr="00D50E91">
        <w:t>„48. § (1) A jellemzően személygépjármű tárolására szolgáló helyiséget legalább tűzgátló válaszfallal, 20 gépjármű álláshely, parkolóhely fölött legalább tűzgátló építményszerkezetekkel kell elválasztani az egyéb, hozzá funkcionálisan nem kapcsolódó rendeltetésektől.</w:t>
      </w:r>
    </w:p>
    <w:p w:rsidR="00C9769F" w:rsidRPr="00D50E91" w:rsidRDefault="00C9769F" w:rsidP="00C9769F">
      <w:pPr>
        <w:jc w:val="both"/>
      </w:pPr>
    </w:p>
    <w:p w:rsidR="00C9769F" w:rsidRPr="00D50E91" w:rsidRDefault="00C9769F" w:rsidP="00C9769F">
      <w:pPr>
        <w:jc w:val="both"/>
      </w:pPr>
      <w:r w:rsidRPr="00D50E91">
        <w:t>(2) A 20</w:t>
      </w:r>
      <w:r w:rsidR="003528A8">
        <w:t>-</w:t>
      </w:r>
      <w:r w:rsidRPr="00D50E91">
        <w:t>nál több gépjármű álláshely, parkolóhely esetén a gépjárműtároló helyiségében alkalmazható hő</w:t>
      </w:r>
      <w:r w:rsidR="003528A8">
        <w:t>-</w:t>
      </w:r>
      <w:r w:rsidRPr="00D50E91">
        <w:t xml:space="preserve"> és hangszigetelés anyaga AK és NAK mértékadó osztályba tartozó építmény esetén legalább B</w:t>
      </w:r>
      <w:r w:rsidR="003528A8">
        <w:t>-</w:t>
      </w:r>
      <w:r w:rsidRPr="00D50E91">
        <w:t>s1, d0 tűzvédelmi osztályú, KK és MK osztály esetén legalább A2</w:t>
      </w:r>
      <w:r w:rsidR="003528A8">
        <w:t>-</w:t>
      </w:r>
      <w:r w:rsidRPr="00D50E91">
        <w:t>s1 d0 tűzvédelmi osztályú.</w:t>
      </w:r>
    </w:p>
    <w:p w:rsidR="00C9769F" w:rsidRPr="00D50E91" w:rsidRDefault="00C9769F" w:rsidP="00C9769F">
      <w:pPr>
        <w:jc w:val="both"/>
      </w:pPr>
    </w:p>
    <w:p w:rsidR="00C9769F" w:rsidRPr="00D50E91" w:rsidRDefault="00C9769F" w:rsidP="00C9769F">
      <w:pPr>
        <w:jc w:val="both"/>
      </w:pPr>
      <w:r w:rsidRPr="00D50E91">
        <w:t>(3) A 20 vagy annál kevesebb gépjármű álláshely, parkolóhely esetén a gépjárműtároló helyiségében alkalmazható hőszigetelés anyaga legalább D</w:t>
      </w:r>
      <w:r w:rsidR="003528A8">
        <w:t>-</w:t>
      </w:r>
      <w:r w:rsidRPr="00D50E91">
        <w:t>s2, d0 tűzvédelmi osztályú.</w:t>
      </w:r>
    </w:p>
    <w:p w:rsidR="00C9769F" w:rsidRPr="00D50E91" w:rsidRDefault="00C9769F" w:rsidP="00C9769F">
      <w:pPr>
        <w:jc w:val="both"/>
      </w:pPr>
    </w:p>
    <w:p w:rsidR="00C9769F" w:rsidRPr="00D50E91" w:rsidRDefault="00C9769F" w:rsidP="00C9769F">
      <w:pPr>
        <w:jc w:val="both"/>
      </w:pPr>
      <w:r w:rsidRPr="00D50E91">
        <w:t>(4) Tehergépjármű, autóbusz és hasonló nagyméretű gépjármű tárolására szolgáló helyiséget legalább tűzgátló válaszfallal, 10 db gépjármű álláshely, parkolóhely fölött tűzgátló építményszerkezetekkel kell elválasztani az egyéb, hozzá funkcionálisan nem kapcsolódó rendeltetésektől.”</w:t>
      </w:r>
    </w:p>
    <w:p w:rsidR="00C9769F" w:rsidRPr="00D50E91" w:rsidRDefault="00C9769F" w:rsidP="00C9769F">
      <w:pPr>
        <w:jc w:val="both"/>
      </w:pPr>
    </w:p>
    <w:p w:rsidR="00C9769F" w:rsidRPr="00D50E91" w:rsidRDefault="00C9769F" w:rsidP="00C9769F">
      <w:pPr>
        <w:keepNext/>
        <w:numPr>
          <w:ilvl w:val="0"/>
          <w:numId w:val="2"/>
        </w:numPr>
        <w:spacing w:line="276" w:lineRule="auto"/>
        <w:ind w:left="0" w:firstLine="0"/>
        <w:jc w:val="center"/>
        <w:outlineLvl w:val="1"/>
        <w:rPr>
          <w:b/>
          <w:bCs/>
        </w:rPr>
      </w:pPr>
      <w:r w:rsidRPr="00D50E91">
        <w:rPr>
          <w:b/>
          <w:bCs/>
        </w:rPr>
        <w:t>§</w:t>
      </w:r>
    </w:p>
    <w:p w:rsidR="00C9769F" w:rsidRPr="00D50E91" w:rsidRDefault="00C9769F" w:rsidP="00C9769F">
      <w:pPr>
        <w:jc w:val="both"/>
      </w:pPr>
    </w:p>
    <w:p w:rsidR="00C9769F" w:rsidRPr="00D50E91" w:rsidRDefault="00C9769F" w:rsidP="00C9769F">
      <w:pPr>
        <w:jc w:val="both"/>
      </w:pPr>
      <w:r w:rsidRPr="00D50E91">
        <w:t>Az R. 50. §</w:t>
      </w:r>
      <w:r w:rsidR="003528A8">
        <w:t>-</w:t>
      </w:r>
      <w:r w:rsidRPr="00D50E91">
        <w:t>a a következő (3)</w:t>
      </w:r>
      <w:r w:rsidR="003528A8">
        <w:t>-</w:t>
      </w:r>
      <w:r w:rsidRPr="00D50E91">
        <w:t>(7) bekezdéssel egészül ki:</w:t>
      </w:r>
    </w:p>
    <w:p w:rsidR="00C9769F" w:rsidRPr="00D50E91" w:rsidRDefault="00C9769F" w:rsidP="00C9769F">
      <w:pPr>
        <w:jc w:val="both"/>
      </w:pPr>
    </w:p>
    <w:p w:rsidR="00C9769F" w:rsidRPr="00D50E91" w:rsidRDefault="00C9769F" w:rsidP="00C9769F">
      <w:pPr>
        <w:jc w:val="both"/>
      </w:pPr>
      <w:r w:rsidRPr="00D50E91">
        <w:t>„(3) Ipari alaprendeltetésű kockázati egység esetén a tűzvédelmi dokumentáció készítéséért felelős személy figyelembe veszi</w:t>
      </w:r>
    </w:p>
    <w:p w:rsidR="00C9769F" w:rsidRPr="00D50E91" w:rsidRDefault="00C9769F" w:rsidP="00C9769F">
      <w:pPr>
        <w:jc w:val="both"/>
      </w:pPr>
      <w:r w:rsidRPr="00D50E91">
        <w:t>a) az alapanyagok, késztermékek, melléktermékek, hulladékok, csomagolóanyagok és –eszközök, egyéb anyagok mennyiségét, tűzveszélyességi osztályát, egyéb veszélyességét, olthatóságát,</w:t>
      </w:r>
    </w:p>
    <w:p w:rsidR="00C9769F" w:rsidRPr="00D50E91" w:rsidRDefault="00C9769F" w:rsidP="00C9769F">
      <w:pPr>
        <w:jc w:val="both"/>
      </w:pPr>
      <w:r w:rsidRPr="00D50E91">
        <w:t>b) a fokozottan tűz</w:t>
      </w:r>
      <w:r w:rsidR="003528A8">
        <w:t>-</w:t>
      </w:r>
      <w:r w:rsidRPr="00D50E91">
        <w:t xml:space="preserve"> vagy robbanásveszélyes anyagok esetében a robbanásveszélyes állapotba kerülés lehetőségeit, gyakoriságát és módjait, a robbanásveszélyes állapot fennállásának gyakoriságát,</w:t>
      </w:r>
    </w:p>
    <w:p w:rsidR="00C9769F" w:rsidRPr="00D50E91" w:rsidRDefault="00C9769F" w:rsidP="00C9769F">
      <w:pPr>
        <w:jc w:val="both"/>
      </w:pPr>
      <w:r w:rsidRPr="00D50E91">
        <w:t>c) az üzemszerű működés jellemzőit és a lehetséges meghibásodásokat,</w:t>
      </w:r>
    </w:p>
    <w:p w:rsidR="00C9769F" w:rsidRPr="00D50E91" w:rsidRDefault="00C9769F" w:rsidP="00C9769F">
      <w:pPr>
        <w:jc w:val="both"/>
      </w:pPr>
      <w:r w:rsidRPr="00D50E91">
        <w:t>d) a lehetséges gyújtóforrásokat, azok előfordulásának gyakoriságát, helyét, időtartamát,</w:t>
      </w:r>
    </w:p>
    <w:p w:rsidR="00C9769F" w:rsidRPr="00D50E91" w:rsidRDefault="00C9769F" w:rsidP="00C9769F">
      <w:pPr>
        <w:jc w:val="both"/>
      </w:pPr>
      <w:r w:rsidRPr="00D50E91">
        <w:t>e) a technológiai folyamatok során jellemző üzemi hőmérsékleti értékeket,</w:t>
      </w:r>
    </w:p>
    <w:p w:rsidR="00C9769F" w:rsidRPr="00D50E91" w:rsidRDefault="00C9769F" w:rsidP="00C9769F">
      <w:pPr>
        <w:jc w:val="both"/>
      </w:pPr>
      <w:r w:rsidRPr="00D50E91">
        <w:t>f) a technológiai egységek kiszakaszolhatóságát,</w:t>
      </w:r>
    </w:p>
    <w:p w:rsidR="00C9769F" w:rsidRPr="00D50E91" w:rsidRDefault="00C9769F" w:rsidP="00C9769F">
      <w:pPr>
        <w:jc w:val="both"/>
      </w:pPr>
      <w:r w:rsidRPr="00D50E91">
        <w:t>g) a potenciális tűzterjedési útvonalakat, különös tekintettel a technológiai kapcsolatok miatt szükséges fal</w:t>
      </w:r>
      <w:r w:rsidR="003528A8">
        <w:t>-</w:t>
      </w:r>
      <w:r w:rsidRPr="00D50E91">
        <w:t xml:space="preserve"> és födémnyílásokra, és</w:t>
      </w:r>
    </w:p>
    <w:p w:rsidR="00C9769F" w:rsidRPr="00D50E91" w:rsidRDefault="00C9769F" w:rsidP="00C9769F">
      <w:pPr>
        <w:jc w:val="both"/>
      </w:pPr>
      <w:r w:rsidRPr="00D50E91">
        <w:t>h) a létesítményi tűzoltóság jelenlétét.</w:t>
      </w:r>
    </w:p>
    <w:p w:rsidR="00C9769F" w:rsidRPr="00D50E91" w:rsidRDefault="00C9769F" w:rsidP="00C9769F">
      <w:pPr>
        <w:jc w:val="both"/>
      </w:pPr>
    </w:p>
    <w:p w:rsidR="00C9769F" w:rsidRPr="00D50E91" w:rsidRDefault="00C9769F" w:rsidP="00C9769F">
      <w:pPr>
        <w:jc w:val="both"/>
      </w:pPr>
      <w:r w:rsidRPr="00D50E91">
        <w:t>(4) Az ipari alaprendeltetésű kockázati egységben biztosítani kell az ott előforduló anyagok oltásához szükséges oltóanyagot és eszközt, felszerelést.</w:t>
      </w:r>
    </w:p>
    <w:p w:rsidR="00C9769F" w:rsidRPr="00D50E91" w:rsidRDefault="00C9769F" w:rsidP="00C9769F">
      <w:pPr>
        <w:jc w:val="both"/>
      </w:pPr>
    </w:p>
    <w:p w:rsidR="00C9769F" w:rsidRPr="00D50E91" w:rsidRDefault="00C9769F" w:rsidP="00C9769F">
      <w:pPr>
        <w:jc w:val="both"/>
      </w:pPr>
      <w:r w:rsidRPr="00D50E91">
        <w:t>(5) Az ipari alaprendeltetésű kockázati egységben a tűzszakaszhatárok helyének megállapításánál figyelembe kell venni az egyes helyiségek ipari, tárolási, közösségi rendeltetését. Az eltérő rendeltetésű helyiségek eltérő tűzszakaszba helyezésének szükségességét a tűzvédelmi dokumentáció készítéséért felelős személy állapítja meg.</w:t>
      </w:r>
    </w:p>
    <w:p w:rsidR="00C9769F" w:rsidRPr="00D50E91" w:rsidRDefault="00C9769F" w:rsidP="00C9769F">
      <w:pPr>
        <w:jc w:val="both"/>
      </w:pPr>
    </w:p>
    <w:p w:rsidR="00C9769F" w:rsidRPr="00D50E91" w:rsidRDefault="00C9769F" w:rsidP="00C9769F">
      <w:pPr>
        <w:jc w:val="both"/>
      </w:pPr>
      <w:r w:rsidRPr="00D50E91">
        <w:t>(6) Az ipari alaprendeltetésű kockázati egységekhez technológiailag kapcsolódó kültéri technológiai rendszerek esetében a tűzterjedés elleni védelem szükségességét a tűzvédelmi dokumentáció készítéséért felelős személy állapítja meg.</w:t>
      </w:r>
    </w:p>
    <w:p w:rsidR="00C9769F" w:rsidRPr="00D50E91" w:rsidRDefault="00C9769F" w:rsidP="00C9769F">
      <w:pPr>
        <w:jc w:val="both"/>
      </w:pPr>
    </w:p>
    <w:p w:rsidR="00C9769F" w:rsidRPr="00D50E91" w:rsidRDefault="00C9769F" w:rsidP="00C9769F">
      <w:pPr>
        <w:jc w:val="both"/>
      </w:pPr>
      <w:r w:rsidRPr="00D50E91">
        <w:t xml:space="preserve">(7) Kültéri, valamint épületen belüli technológiai rendszerek és a megközelítésüket, kezelésüket szolgáló járófelületei és tartószerkezetei, valamint éghető folyadékok tárolótartályai esetében a </w:t>
      </w:r>
      <w:r w:rsidRPr="00D50E91">
        <w:lastRenderedPageBreak/>
        <w:t>szerkezetek és a tartály tűzeseti állékonyságát biztosító műszaki megoldás szükségességét és módját a tűzvédelmi dokumentáció készítéséért felelős személy állapítja meg, figyelembe véve az esetlegesen bekövetkező tűz jellemzőit, várható lefolyását.”</w:t>
      </w:r>
    </w:p>
    <w:p w:rsidR="00C9769F" w:rsidRPr="00D50E91" w:rsidRDefault="00C9769F" w:rsidP="00C9769F">
      <w:pPr>
        <w:jc w:val="both"/>
      </w:pPr>
    </w:p>
    <w:p w:rsidR="00C9769F" w:rsidRPr="00D50E91" w:rsidRDefault="00C9769F" w:rsidP="00C9769F">
      <w:pPr>
        <w:keepNext/>
        <w:numPr>
          <w:ilvl w:val="0"/>
          <w:numId w:val="2"/>
        </w:numPr>
        <w:spacing w:line="276" w:lineRule="auto"/>
        <w:ind w:left="0" w:firstLine="0"/>
        <w:jc w:val="center"/>
        <w:outlineLvl w:val="1"/>
        <w:rPr>
          <w:b/>
          <w:bCs/>
        </w:rPr>
      </w:pPr>
      <w:r w:rsidRPr="00D50E91">
        <w:rPr>
          <w:b/>
          <w:bCs/>
        </w:rPr>
        <w:t>§</w:t>
      </w:r>
    </w:p>
    <w:p w:rsidR="00C9769F" w:rsidRPr="00D50E91" w:rsidRDefault="00C9769F" w:rsidP="00C9769F">
      <w:pPr>
        <w:jc w:val="both"/>
      </w:pPr>
    </w:p>
    <w:p w:rsidR="00C9769F" w:rsidRPr="00D50E91" w:rsidRDefault="00C9769F" w:rsidP="00C9769F">
      <w:pPr>
        <w:jc w:val="both"/>
      </w:pPr>
      <w:r w:rsidRPr="00D50E91">
        <w:t>Az R. 52. § és 53. §</w:t>
      </w:r>
      <w:r w:rsidR="003528A8">
        <w:t>-</w:t>
      </w:r>
      <w:r w:rsidRPr="00D50E91">
        <w:t>a helyébe a következő rendelkezés lép:</w:t>
      </w:r>
    </w:p>
    <w:p w:rsidR="00C9769F" w:rsidRPr="00D50E91" w:rsidRDefault="00C9769F" w:rsidP="00C9769F">
      <w:pPr>
        <w:jc w:val="both"/>
      </w:pPr>
    </w:p>
    <w:p w:rsidR="00C9769F" w:rsidRPr="00D50E91" w:rsidRDefault="00C9769F" w:rsidP="00C9769F">
      <w:pPr>
        <w:jc w:val="both"/>
      </w:pPr>
      <w:r w:rsidRPr="00D50E91">
        <w:t>„52. § (1) A kiürítést</w:t>
      </w:r>
    </w:p>
    <w:p w:rsidR="00C9769F" w:rsidRPr="00D50E91" w:rsidRDefault="00C9769F" w:rsidP="00C9769F">
      <w:pPr>
        <w:jc w:val="both"/>
      </w:pPr>
      <w:r w:rsidRPr="00D50E91">
        <w:t>a) geometriai módszerrel, a (2) bekezdésben és a 7. melléklet 1. táblázatában foglaltak szerint, vagy</w:t>
      </w:r>
    </w:p>
    <w:p w:rsidR="00C9769F" w:rsidRPr="00D50E91" w:rsidRDefault="00C9769F" w:rsidP="00C9769F">
      <w:pPr>
        <w:jc w:val="both"/>
      </w:pPr>
      <w:r w:rsidRPr="00D50E91">
        <w:t>b) számítással</w:t>
      </w:r>
    </w:p>
    <w:p w:rsidR="00C9769F" w:rsidRPr="00D50E91" w:rsidRDefault="00C9769F" w:rsidP="00C9769F">
      <w:pPr>
        <w:jc w:val="both"/>
      </w:pPr>
      <w:r w:rsidRPr="00D50E91">
        <w:t>kell megtervezni.</w:t>
      </w:r>
    </w:p>
    <w:p w:rsidR="00C9769F" w:rsidRPr="00D50E91" w:rsidRDefault="00C9769F" w:rsidP="00C9769F">
      <w:pPr>
        <w:jc w:val="both"/>
      </w:pPr>
    </w:p>
    <w:p w:rsidR="00C9769F" w:rsidRPr="00D50E91" w:rsidRDefault="00C9769F" w:rsidP="00C9769F">
      <w:pPr>
        <w:jc w:val="both"/>
      </w:pPr>
      <w:r w:rsidRPr="00D50E91">
        <w:t>(2) A kiürítés geometriai módszerrel való tervezése, ellenőrzése során a menekülési útvonal, a biztonságos tér és az átmeneti védett tér elérési távolságának és a menekülési útvonalnak megengedett legnagyobb hosszúságát, továbbá a kiürítési útvonal megengedett legkisebb szabad szélességét, a kiürítési útvonalon beépített nyílászárók, valamint szűkületek megengedett legkisebb szabad belméretét kell ellenőrizni.</w:t>
      </w:r>
    </w:p>
    <w:p w:rsidR="00C9769F" w:rsidRPr="00D50E91" w:rsidRDefault="00C9769F" w:rsidP="00C9769F">
      <w:pPr>
        <w:jc w:val="both"/>
      </w:pPr>
    </w:p>
    <w:p w:rsidR="00C9769F" w:rsidRPr="00D50E91" w:rsidRDefault="00C9769F" w:rsidP="00C9769F">
      <w:pPr>
        <w:jc w:val="both"/>
      </w:pPr>
      <w:r w:rsidRPr="00D50E91">
        <w:t>(3) A helyiség, szabadtér, terület befogadóképességét az alábbi létszámadatok közül a nagyobb létszám jelenti:</w:t>
      </w:r>
    </w:p>
    <w:p w:rsidR="00C9769F" w:rsidRPr="00D50E91" w:rsidRDefault="00C9769F" w:rsidP="00C9769F">
      <w:pPr>
        <w:jc w:val="both"/>
      </w:pPr>
      <w:r w:rsidRPr="00D50E91">
        <w:t>a) tervezői, üzemeltetői adatszolgáltatás szerinti, kiüríthető létszám,</w:t>
      </w:r>
    </w:p>
    <w:p w:rsidR="00C9769F" w:rsidRPr="00D50E91" w:rsidRDefault="00C9769F" w:rsidP="00C9769F">
      <w:pPr>
        <w:jc w:val="both"/>
      </w:pPr>
      <w:r w:rsidRPr="00D50E91">
        <w:t>b) fajlagos értékkel számított, kiüríthető létszám.</w:t>
      </w:r>
    </w:p>
    <w:p w:rsidR="00C9769F" w:rsidRPr="00D50E91" w:rsidRDefault="00C9769F" w:rsidP="00C9769F">
      <w:pPr>
        <w:jc w:val="both"/>
      </w:pPr>
    </w:p>
    <w:p w:rsidR="00C9769F" w:rsidRPr="00D50E91" w:rsidRDefault="00C9769F" w:rsidP="00C9769F">
      <w:pPr>
        <w:jc w:val="both"/>
      </w:pPr>
      <w:r w:rsidRPr="00D50E91">
        <w:t>(4) A befogadóképesség meghatározható a (3) bekezdés a) pontja szerinti létszám alapján, ha az üzemeltető vállalja annak folyamatos biztosítását.</w:t>
      </w:r>
    </w:p>
    <w:p w:rsidR="00C9769F" w:rsidRPr="00D50E91" w:rsidRDefault="00C9769F" w:rsidP="00C9769F">
      <w:pPr>
        <w:jc w:val="both"/>
      </w:pPr>
    </w:p>
    <w:p w:rsidR="00C9769F" w:rsidRPr="00D50E91" w:rsidRDefault="00C9769F" w:rsidP="00C9769F">
      <w:pPr>
        <w:jc w:val="both"/>
      </w:pPr>
      <w:r w:rsidRPr="00D50E91">
        <w:t xml:space="preserve">53. § (1) Csúszda, felvonó </w:t>
      </w:r>
      <w:r w:rsidR="003528A8">
        <w:t>-</w:t>
      </w:r>
      <w:r w:rsidRPr="00D50E91">
        <w:t xml:space="preserve"> kivéve a menekülési felvonót </w:t>
      </w:r>
      <w:r w:rsidR="003528A8">
        <w:t>-</w:t>
      </w:r>
      <w:r w:rsidRPr="00D50E91">
        <w:t>, mozgólépcső, valamint 25%</w:t>
      </w:r>
      <w:r w:rsidR="003528A8">
        <w:t>-</w:t>
      </w:r>
      <w:r w:rsidRPr="00D50E91">
        <w:t>nál meredekebb lejtő kiürítésre nem tervezhető, kivéve, ha jogszabály másként nem rendelkezik.</w:t>
      </w:r>
    </w:p>
    <w:p w:rsidR="00C9769F" w:rsidRPr="00D50E91" w:rsidRDefault="00C9769F" w:rsidP="00C9769F">
      <w:pPr>
        <w:jc w:val="both"/>
      </w:pPr>
    </w:p>
    <w:p w:rsidR="00C9769F" w:rsidRPr="00D50E91" w:rsidRDefault="00C9769F" w:rsidP="00C9769F">
      <w:pPr>
        <w:jc w:val="both"/>
      </w:pPr>
      <w:r w:rsidRPr="00D50E91">
        <w:t>(2) Vészlétrát, vészhágcsót menekülés céljára ipari, mezőgazdasági vagy tárolási rendeltetés esetén, valamint gépészeti helyiség, gépészeti tér esetén lehet használni.”</w:t>
      </w:r>
    </w:p>
    <w:p w:rsidR="00C9769F" w:rsidRPr="00D50E91" w:rsidRDefault="00C9769F" w:rsidP="00C9769F">
      <w:pPr>
        <w:jc w:val="both"/>
      </w:pPr>
    </w:p>
    <w:p w:rsidR="00C9769F" w:rsidRPr="00D50E91" w:rsidRDefault="00C9769F" w:rsidP="00C9769F">
      <w:pPr>
        <w:keepNext/>
        <w:numPr>
          <w:ilvl w:val="0"/>
          <w:numId w:val="2"/>
        </w:numPr>
        <w:spacing w:line="276" w:lineRule="auto"/>
        <w:ind w:left="0" w:firstLine="0"/>
        <w:jc w:val="center"/>
        <w:outlineLvl w:val="1"/>
        <w:rPr>
          <w:b/>
          <w:bCs/>
        </w:rPr>
      </w:pPr>
      <w:r w:rsidRPr="00D50E91">
        <w:rPr>
          <w:b/>
          <w:bCs/>
        </w:rPr>
        <w:t>§</w:t>
      </w:r>
    </w:p>
    <w:p w:rsidR="00C9769F" w:rsidRPr="00D50E91" w:rsidRDefault="00C9769F" w:rsidP="00C9769F">
      <w:pPr>
        <w:jc w:val="both"/>
      </w:pPr>
    </w:p>
    <w:p w:rsidR="00C9769F" w:rsidRPr="00D50E91" w:rsidRDefault="00C9769F" w:rsidP="00C9769F">
      <w:pPr>
        <w:jc w:val="both"/>
      </w:pPr>
      <w:r w:rsidRPr="00D50E91">
        <w:t>Az R. 55. § (1) bekezdése helyébe a következő rendelkezés lép:</w:t>
      </w:r>
    </w:p>
    <w:p w:rsidR="00C9769F" w:rsidRPr="00D50E91" w:rsidRDefault="00C9769F" w:rsidP="00C9769F">
      <w:pPr>
        <w:jc w:val="both"/>
      </w:pPr>
    </w:p>
    <w:p w:rsidR="00C9769F" w:rsidRPr="00D50E91" w:rsidRDefault="00C9769F" w:rsidP="00C9769F">
      <w:pPr>
        <w:jc w:val="both"/>
      </w:pPr>
      <w:r w:rsidRPr="00D50E91">
        <w:t>„(1) Az átmeneti védett tér lehet</w:t>
      </w:r>
    </w:p>
    <w:p w:rsidR="00C9769F" w:rsidRPr="00D50E91" w:rsidRDefault="00C9769F" w:rsidP="00C9769F">
      <w:pPr>
        <w:jc w:val="both"/>
      </w:pPr>
      <w:r w:rsidRPr="00D50E91">
        <w:t>a) önálló helyiség,</w:t>
      </w:r>
    </w:p>
    <w:p w:rsidR="00C9769F" w:rsidRPr="00D50E91" w:rsidRDefault="00C9769F" w:rsidP="00C9769F">
      <w:pPr>
        <w:jc w:val="both"/>
      </w:pPr>
      <w:r w:rsidRPr="00D50E91">
        <w:t>b) önálló kiürítési útvonallal rendelkező tűzszakasz,</w:t>
      </w:r>
    </w:p>
    <w:p w:rsidR="00C9769F" w:rsidRPr="00D50E91" w:rsidRDefault="00C9769F" w:rsidP="00C9769F">
      <w:pPr>
        <w:jc w:val="both"/>
      </w:pPr>
      <w:r w:rsidRPr="00D50E91">
        <w:t>c) füstmentes lépcsőház, füstmentes szabadlépcső pihenő része,</w:t>
      </w:r>
    </w:p>
    <w:p w:rsidR="00C9769F" w:rsidRPr="00D50E91" w:rsidRDefault="00C9769F" w:rsidP="00C9769F">
      <w:pPr>
        <w:jc w:val="both"/>
      </w:pPr>
      <w:r w:rsidRPr="00D50E91">
        <w:t>d) tetőfödém, vagy</w:t>
      </w:r>
    </w:p>
    <w:p w:rsidR="00C9769F" w:rsidRPr="00D50E91" w:rsidRDefault="00C9769F" w:rsidP="00C9769F">
      <w:pPr>
        <w:jc w:val="both"/>
      </w:pPr>
      <w:r w:rsidRPr="00D50E91">
        <w:t>e) védett kialakítású szabadlépcső pihenő része.</w:t>
      </w:r>
    </w:p>
    <w:p w:rsidR="00C9769F" w:rsidRPr="00D50E91" w:rsidRDefault="00C9769F" w:rsidP="00C9769F">
      <w:pPr>
        <w:jc w:val="both"/>
      </w:pPr>
    </w:p>
    <w:p w:rsidR="00C9769F" w:rsidRPr="00D50E91" w:rsidRDefault="00C9769F" w:rsidP="00C9769F">
      <w:pPr>
        <w:keepNext/>
        <w:numPr>
          <w:ilvl w:val="0"/>
          <w:numId w:val="2"/>
        </w:numPr>
        <w:spacing w:line="276" w:lineRule="auto"/>
        <w:ind w:left="0" w:firstLine="0"/>
        <w:jc w:val="center"/>
        <w:outlineLvl w:val="1"/>
        <w:rPr>
          <w:b/>
          <w:bCs/>
        </w:rPr>
      </w:pPr>
      <w:r w:rsidRPr="00D50E91">
        <w:rPr>
          <w:b/>
          <w:bCs/>
        </w:rPr>
        <w:t>§</w:t>
      </w:r>
    </w:p>
    <w:p w:rsidR="00C9769F" w:rsidRPr="00D50E91" w:rsidRDefault="00C9769F" w:rsidP="00C9769F">
      <w:pPr>
        <w:jc w:val="both"/>
      </w:pPr>
    </w:p>
    <w:p w:rsidR="00C9769F" w:rsidRPr="00D50E91" w:rsidRDefault="00C9769F" w:rsidP="00C9769F">
      <w:pPr>
        <w:jc w:val="both"/>
      </w:pPr>
      <w:r w:rsidRPr="00D50E91">
        <w:t>Az R. 32. alcím címe helyébe a következő alcím cím lép:</w:t>
      </w:r>
    </w:p>
    <w:p w:rsidR="00C9769F" w:rsidRPr="00D50E91" w:rsidRDefault="00C9769F" w:rsidP="00C9769F">
      <w:pPr>
        <w:jc w:val="both"/>
      </w:pPr>
    </w:p>
    <w:p w:rsidR="00C9769F" w:rsidRPr="00D50E91" w:rsidRDefault="00C9769F" w:rsidP="00C9769F">
      <w:pPr>
        <w:jc w:val="center"/>
      </w:pPr>
      <w:r w:rsidRPr="00D50E91">
        <w:t>„</w:t>
      </w:r>
      <w:r w:rsidRPr="00D50E91">
        <w:rPr>
          <w:b/>
        </w:rPr>
        <w:t>32. Kiürítésre szolgáló nyílászárók</w:t>
      </w:r>
      <w:r w:rsidRPr="00D50E91">
        <w:t>”</w:t>
      </w:r>
    </w:p>
    <w:p w:rsidR="00C9769F" w:rsidRPr="00D50E91" w:rsidRDefault="00C9769F" w:rsidP="00C9769F">
      <w:pPr>
        <w:jc w:val="both"/>
      </w:pPr>
    </w:p>
    <w:p w:rsidR="00C9769F" w:rsidRPr="00D50E91" w:rsidRDefault="00C9769F" w:rsidP="00C9769F">
      <w:pPr>
        <w:keepNext/>
        <w:numPr>
          <w:ilvl w:val="0"/>
          <w:numId w:val="2"/>
        </w:numPr>
        <w:spacing w:line="276" w:lineRule="auto"/>
        <w:ind w:left="0" w:firstLine="0"/>
        <w:jc w:val="center"/>
        <w:outlineLvl w:val="1"/>
        <w:rPr>
          <w:b/>
          <w:bCs/>
        </w:rPr>
      </w:pPr>
      <w:r w:rsidRPr="00D50E91">
        <w:rPr>
          <w:b/>
          <w:bCs/>
        </w:rPr>
        <w:t>§</w:t>
      </w:r>
    </w:p>
    <w:p w:rsidR="00C9769F" w:rsidRPr="00D50E91" w:rsidRDefault="00C9769F" w:rsidP="00C9769F">
      <w:pPr>
        <w:jc w:val="both"/>
      </w:pPr>
    </w:p>
    <w:p w:rsidR="00C9769F" w:rsidRPr="00D50E91" w:rsidRDefault="00C9769F" w:rsidP="00C9769F">
      <w:pPr>
        <w:jc w:val="both"/>
      </w:pPr>
      <w:r w:rsidRPr="00D50E91">
        <w:t>Az R. 59 §. (6) bekezdése helyébe a következő rendelkezés lép:</w:t>
      </w:r>
    </w:p>
    <w:p w:rsidR="00C9769F" w:rsidRPr="00D50E91" w:rsidRDefault="00C9769F" w:rsidP="00C9769F">
      <w:pPr>
        <w:jc w:val="both"/>
      </w:pPr>
    </w:p>
    <w:p w:rsidR="00C9769F" w:rsidRPr="00D50E91" w:rsidRDefault="00C9769F" w:rsidP="00C9769F">
      <w:pPr>
        <w:jc w:val="both"/>
      </w:pPr>
      <w:r w:rsidRPr="00D50E91">
        <w:t>„(6) A kiürítésre szolgáló, üzemszerűen zárva tartott ajtók vészeseti nyithatóságát és a beléptető rendszerek kiürítést nem akadályozó kialakítását biztosítani kell.”</w:t>
      </w:r>
    </w:p>
    <w:p w:rsidR="00C9769F" w:rsidRPr="00D50E91" w:rsidRDefault="00C9769F" w:rsidP="00C9769F">
      <w:pPr>
        <w:jc w:val="both"/>
      </w:pPr>
    </w:p>
    <w:p w:rsidR="00C9769F" w:rsidRPr="00D50E91" w:rsidRDefault="00C9769F" w:rsidP="00C9769F">
      <w:pPr>
        <w:keepNext/>
        <w:numPr>
          <w:ilvl w:val="0"/>
          <w:numId w:val="2"/>
        </w:numPr>
        <w:spacing w:line="276" w:lineRule="auto"/>
        <w:ind w:left="0" w:firstLine="0"/>
        <w:jc w:val="center"/>
        <w:outlineLvl w:val="1"/>
        <w:rPr>
          <w:b/>
          <w:bCs/>
        </w:rPr>
      </w:pPr>
      <w:r w:rsidRPr="00D50E91">
        <w:rPr>
          <w:b/>
          <w:bCs/>
        </w:rPr>
        <w:t>§</w:t>
      </w:r>
    </w:p>
    <w:p w:rsidR="00C9769F" w:rsidRPr="00D50E91" w:rsidRDefault="00C9769F" w:rsidP="00C9769F">
      <w:pPr>
        <w:jc w:val="both"/>
      </w:pPr>
    </w:p>
    <w:p w:rsidR="00C9769F" w:rsidRPr="00D50E91" w:rsidRDefault="00C9769F" w:rsidP="00C9769F">
      <w:pPr>
        <w:jc w:val="both"/>
      </w:pPr>
      <w:r w:rsidRPr="00D50E91">
        <w:t>Az R. 33. alcíme helyébe a következő alcím lép:</w:t>
      </w:r>
    </w:p>
    <w:p w:rsidR="00C9769F" w:rsidRPr="00D50E91" w:rsidRDefault="00C9769F" w:rsidP="00C9769F">
      <w:pPr>
        <w:jc w:val="both"/>
      </w:pPr>
    </w:p>
    <w:p w:rsidR="00C9769F" w:rsidRPr="00D50E91" w:rsidRDefault="00C9769F" w:rsidP="00C9769F">
      <w:pPr>
        <w:jc w:val="center"/>
      </w:pPr>
      <w:r w:rsidRPr="00D50E91">
        <w:t>„</w:t>
      </w:r>
      <w:r w:rsidRPr="00D50E91">
        <w:rPr>
          <w:b/>
        </w:rPr>
        <w:t>33. Kiürítésre szolgáló, valamint menekülési útvonalat képező lépcsőház, lépcső követelményei</w:t>
      </w:r>
      <w:r w:rsidRPr="00D50E91">
        <w:t>”</w:t>
      </w:r>
    </w:p>
    <w:p w:rsidR="00C9769F" w:rsidRPr="00D50E91" w:rsidRDefault="00C9769F" w:rsidP="00C9769F">
      <w:pPr>
        <w:jc w:val="both"/>
      </w:pPr>
    </w:p>
    <w:p w:rsidR="00C9769F" w:rsidRPr="00D50E91" w:rsidRDefault="00C9769F" w:rsidP="00C9769F">
      <w:pPr>
        <w:keepNext/>
        <w:numPr>
          <w:ilvl w:val="0"/>
          <w:numId w:val="2"/>
        </w:numPr>
        <w:spacing w:line="276" w:lineRule="auto"/>
        <w:ind w:left="0" w:firstLine="0"/>
        <w:jc w:val="center"/>
        <w:outlineLvl w:val="1"/>
        <w:rPr>
          <w:b/>
          <w:bCs/>
        </w:rPr>
      </w:pPr>
      <w:r w:rsidRPr="00D50E91">
        <w:rPr>
          <w:b/>
          <w:bCs/>
        </w:rPr>
        <w:t>§</w:t>
      </w:r>
    </w:p>
    <w:p w:rsidR="00C9769F" w:rsidRPr="00D50E91" w:rsidRDefault="00C9769F" w:rsidP="00C9769F">
      <w:pPr>
        <w:jc w:val="both"/>
      </w:pPr>
    </w:p>
    <w:p w:rsidR="00C9769F" w:rsidRPr="00D50E91" w:rsidRDefault="00C9769F" w:rsidP="00C9769F">
      <w:pPr>
        <w:jc w:val="both"/>
      </w:pPr>
      <w:r w:rsidRPr="00D50E91">
        <w:t>Az R. 60. §</w:t>
      </w:r>
      <w:r w:rsidR="003528A8">
        <w:t>-</w:t>
      </w:r>
      <w:r w:rsidRPr="00D50E91">
        <w:t>a helyébe a következő rendelkezés lép:</w:t>
      </w:r>
    </w:p>
    <w:p w:rsidR="00C9769F" w:rsidRPr="00D50E91" w:rsidRDefault="00C9769F" w:rsidP="00C9769F">
      <w:pPr>
        <w:jc w:val="both"/>
      </w:pPr>
    </w:p>
    <w:p w:rsidR="00C9769F" w:rsidRPr="00D50E91" w:rsidRDefault="00C9769F" w:rsidP="00C9769F">
      <w:pPr>
        <w:jc w:val="both"/>
      </w:pPr>
      <w:r w:rsidRPr="00D50E91">
        <w:t>„60. § (1) A menekülési útvonal függőleges szakaszát lépcsőházban, szabadlépcsőn vagy menekülési útvonalnak minősülő fedett átriumban elhelyezett legfeljebb 48 méter hosszúságú menekülési útvonalat képező lépcsőn kell vezetni.</w:t>
      </w:r>
    </w:p>
    <w:p w:rsidR="00C9769F" w:rsidRPr="00D50E91" w:rsidRDefault="00C9769F" w:rsidP="00C9769F">
      <w:pPr>
        <w:jc w:val="both"/>
      </w:pPr>
    </w:p>
    <w:p w:rsidR="00C9769F" w:rsidRPr="00D50E91" w:rsidRDefault="00C9769F" w:rsidP="00C9769F">
      <w:pPr>
        <w:jc w:val="both"/>
      </w:pPr>
      <w:r w:rsidRPr="00D50E91">
        <w:t>(2) A menekülési útvonalat képező lépcsőházat</w:t>
      </w:r>
    </w:p>
    <w:p w:rsidR="00C9769F" w:rsidRPr="00D50E91" w:rsidRDefault="00C9769F" w:rsidP="00C9769F">
      <w:pPr>
        <w:jc w:val="both"/>
      </w:pPr>
      <w:r w:rsidRPr="00D50E91">
        <w:t>a) abban az esetben, ha a  lépcsőházból kivezető kijárati szint és az attól függőleges értelemben vett legtávolabbi, a lépcsőházba vezető bejárati szint között a szintmagasság legfeljebb 14 méter, legalább hő</w:t>
      </w:r>
      <w:r w:rsidR="003528A8">
        <w:t>-</w:t>
      </w:r>
      <w:r w:rsidRPr="00D50E91">
        <w:t xml:space="preserve"> és füstelvezetéssel rendelkező lépcsőházként,</w:t>
      </w:r>
    </w:p>
    <w:p w:rsidR="00C9769F" w:rsidRPr="00D50E91" w:rsidRDefault="00C9769F" w:rsidP="00C9769F">
      <w:pPr>
        <w:jc w:val="both"/>
      </w:pPr>
      <w:r w:rsidRPr="00D50E91">
        <w:t>b) az a) ponttól eltérő, 14 métert meghaladó szintmagasság esetén füstmentes lépcsőházként,</w:t>
      </w:r>
    </w:p>
    <w:p w:rsidR="00C9769F" w:rsidRPr="00D50E91" w:rsidRDefault="00C9769F" w:rsidP="00C9769F">
      <w:pPr>
        <w:jc w:val="both"/>
      </w:pPr>
      <w:r w:rsidRPr="00D50E91">
        <w:t>c) speciális építményben a XII. fejezet szerint</w:t>
      </w:r>
    </w:p>
    <w:p w:rsidR="00C9769F" w:rsidRPr="00D50E91" w:rsidRDefault="00C9769F" w:rsidP="00C9769F">
      <w:pPr>
        <w:jc w:val="both"/>
      </w:pPr>
      <w:r w:rsidRPr="00D50E91">
        <w:t>kell kialakítani.</w:t>
      </w:r>
    </w:p>
    <w:p w:rsidR="00C9769F" w:rsidRPr="00D50E91" w:rsidRDefault="00C9769F" w:rsidP="00C9769F">
      <w:pPr>
        <w:jc w:val="both"/>
      </w:pPr>
    </w:p>
    <w:p w:rsidR="00C9769F" w:rsidRPr="00D50E91" w:rsidRDefault="00C9769F" w:rsidP="00C9769F">
      <w:pPr>
        <w:jc w:val="both"/>
      </w:pPr>
      <w:r w:rsidRPr="00D50E91">
        <w:t>(3) Meglévő épület legfeljebb 30 métert meg nem haladó legfelső építményszintű emeletráépítése, tetőtérbeépítése esetén a (2) bekezdés b) pontjában foglaltak helyett az új szintek kiürítésére alkalmazható két, egymástól független, legalább hő</w:t>
      </w:r>
      <w:r w:rsidR="003528A8">
        <w:t>-</w:t>
      </w:r>
      <w:r w:rsidRPr="00D50E91">
        <w:t xml:space="preserve"> és füstelvezetéssel rendelkező lépcsőház kialakítása.</w:t>
      </w:r>
    </w:p>
    <w:p w:rsidR="00C9769F" w:rsidRPr="00D50E91" w:rsidRDefault="00C9769F" w:rsidP="00C9769F">
      <w:pPr>
        <w:jc w:val="both"/>
      </w:pPr>
    </w:p>
    <w:p w:rsidR="00C9769F" w:rsidRPr="00D50E91" w:rsidRDefault="00C9769F" w:rsidP="00C9769F">
      <w:pPr>
        <w:jc w:val="both"/>
      </w:pPr>
      <w:r w:rsidRPr="00D50E91">
        <w:t>(4) A menekülési útvonalat képező szabadlépcsőt úgy kell elhelyezni, hogy a lépcső szerkezetét és a lépcső használóit a tűz és kísérőjelenségei, így a láng, hősugárzás, füst ne veszélyeztesse. A füstmentes lépcsőház helyett alkalmazható füstmentes szabadlépcső.</w:t>
      </w:r>
    </w:p>
    <w:p w:rsidR="00C9769F" w:rsidRPr="00D50E91" w:rsidRDefault="00C9769F" w:rsidP="00C9769F">
      <w:pPr>
        <w:jc w:val="both"/>
      </w:pPr>
    </w:p>
    <w:p w:rsidR="00C9769F" w:rsidRPr="00D50E91" w:rsidRDefault="00C9769F" w:rsidP="00C9769F">
      <w:pPr>
        <w:jc w:val="both"/>
      </w:pPr>
      <w:r w:rsidRPr="00D50E91">
        <w:t>(5) A tömegtartózkodásra szolgáló helyiség menekülési útvonalát képező, 4 méternél szélesebb lépcsőkarokat korláttal kell felosztani olyan módon, hogy a lépcsőkar egymástól elválasztott részeinek szabad szélessége a biztonságos kiürítést biztosítsa.</w:t>
      </w:r>
    </w:p>
    <w:p w:rsidR="00C9769F" w:rsidRPr="00D50E91" w:rsidRDefault="00C9769F" w:rsidP="00C9769F">
      <w:pPr>
        <w:jc w:val="both"/>
      </w:pPr>
    </w:p>
    <w:p w:rsidR="00C9769F" w:rsidRPr="00D50E91" w:rsidRDefault="00C9769F" w:rsidP="00C9769F">
      <w:pPr>
        <w:jc w:val="both"/>
      </w:pPr>
      <w:r w:rsidRPr="00D50E91">
        <w:t>(6) Íves, húzott karú vagy csigalépcső kiürítésre akkor alkalmazható, ha</w:t>
      </w:r>
    </w:p>
    <w:p w:rsidR="00C9769F" w:rsidRPr="00D50E91" w:rsidRDefault="00C9769F" w:rsidP="00C9769F">
      <w:pPr>
        <w:jc w:val="both"/>
      </w:pPr>
      <w:r w:rsidRPr="00D50E91">
        <w:t>a) a lépcsőn menekülő személyek száma legfeljebb 50 fő és a lépcső legfeljebb 10 méter menekülésre használt szintkülönbséget hidal át vagy</w:t>
      </w:r>
    </w:p>
    <w:p w:rsidR="00C9769F" w:rsidRPr="00D50E91" w:rsidRDefault="00C9769F" w:rsidP="00C9769F">
      <w:pPr>
        <w:jc w:val="both"/>
      </w:pPr>
      <w:r w:rsidRPr="00D50E91">
        <w:t>b) a lépcsőkar menekülésre használható karszélességén belül valamennyi lépcsőfok belépő szélessége legalább 0,27 m.</w:t>
      </w:r>
    </w:p>
    <w:p w:rsidR="00C9769F" w:rsidRPr="00D50E91" w:rsidRDefault="00C9769F" w:rsidP="00C9769F">
      <w:pPr>
        <w:jc w:val="both"/>
      </w:pPr>
    </w:p>
    <w:p w:rsidR="00C9769F" w:rsidRPr="00D50E91" w:rsidRDefault="00C9769F" w:rsidP="00C9769F">
      <w:pPr>
        <w:jc w:val="both"/>
      </w:pPr>
      <w:r w:rsidRPr="00D50E91">
        <w:t>(7) A menekülési útvonalat képező füstmentes lépcsőházat úgy kell kialakítani, hogy a lépcsőházból</w:t>
      </w:r>
    </w:p>
    <w:p w:rsidR="00C9769F" w:rsidRPr="00D50E91" w:rsidRDefault="00C9769F" w:rsidP="00C9769F">
      <w:pPr>
        <w:jc w:val="both"/>
      </w:pPr>
      <w:r w:rsidRPr="00D50E91">
        <w:t>a) közvetlenül,</w:t>
      </w:r>
    </w:p>
    <w:p w:rsidR="00C9769F" w:rsidRPr="00D50E91" w:rsidRDefault="00C9769F" w:rsidP="00C9769F">
      <w:pPr>
        <w:jc w:val="both"/>
      </w:pPr>
      <w:r w:rsidRPr="00D50E91">
        <w:t>b) tűzgátló építményszerkezetekkel határolt közlekedőn keresztül vagy</w:t>
      </w:r>
    </w:p>
    <w:p w:rsidR="00C9769F" w:rsidRPr="00D50E91" w:rsidRDefault="00C9769F" w:rsidP="00C9769F">
      <w:pPr>
        <w:jc w:val="both"/>
      </w:pPr>
      <w:r w:rsidRPr="00D50E91">
        <w:t>c) két, egymástól független menekülési útvonallal rendelkező tűzszakaszon keresztül</w:t>
      </w:r>
    </w:p>
    <w:p w:rsidR="00C9769F" w:rsidRPr="00D50E91" w:rsidRDefault="00C9769F" w:rsidP="00C9769F">
      <w:pPr>
        <w:jc w:val="both"/>
      </w:pPr>
      <w:r w:rsidRPr="00D50E91">
        <w:t>biztonságos térbe lehessen jutni.”</w:t>
      </w:r>
    </w:p>
    <w:p w:rsidR="00C9769F" w:rsidRPr="00D50E91" w:rsidRDefault="00C9769F" w:rsidP="00C9769F">
      <w:pPr>
        <w:jc w:val="both"/>
      </w:pPr>
    </w:p>
    <w:p w:rsidR="00C9769F" w:rsidRPr="00D50E91" w:rsidRDefault="00C9769F" w:rsidP="00C9769F">
      <w:pPr>
        <w:keepNext/>
        <w:numPr>
          <w:ilvl w:val="0"/>
          <w:numId w:val="2"/>
        </w:numPr>
        <w:spacing w:line="276" w:lineRule="auto"/>
        <w:ind w:left="0" w:firstLine="0"/>
        <w:jc w:val="center"/>
        <w:outlineLvl w:val="1"/>
        <w:rPr>
          <w:b/>
          <w:bCs/>
        </w:rPr>
      </w:pPr>
      <w:r w:rsidRPr="00D50E91">
        <w:rPr>
          <w:b/>
          <w:bCs/>
        </w:rPr>
        <w:t>§</w:t>
      </w:r>
    </w:p>
    <w:p w:rsidR="00C9769F" w:rsidRPr="00D50E91" w:rsidRDefault="00C9769F" w:rsidP="00C9769F">
      <w:pPr>
        <w:jc w:val="both"/>
      </w:pPr>
    </w:p>
    <w:p w:rsidR="00C9769F" w:rsidRPr="00D50E91" w:rsidRDefault="00C9769F" w:rsidP="00C9769F">
      <w:pPr>
        <w:jc w:val="both"/>
      </w:pPr>
      <w:r w:rsidRPr="00D50E91">
        <w:t>Az R. 65. §</w:t>
      </w:r>
      <w:r w:rsidR="003528A8">
        <w:t>-</w:t>
      </w:r>
      <w:r w:rsidRPr="00D50E91">
        <w:t>a helyébe a következő rendelkezés lép:</w:t>
      </w:r>
    </w:p>
    <w:p w:rsidR="00C9769F" w:rsidRPr="00D50E91" w:rsidRDefault="00C9769F" w:rsidP="00C9769F">
      <w:pPr>
        <w:jc w:val="both"/>
      </w:pPr>
    </w:p>
    <w:p w:rsidR="00C9769F" w:rsidRPr="00D50E91" w:rsidRDefault="00C9769F" w:rsidP="00C9769F">
      <w:pPr>
        <w:jc w:val="both"/>
      </w:pPr>
      <w:r w:rsidRPr="00D50E91">
        <w:t>„65. § (1) Tűzoltási felvonulási területet és utat kell biztosítani</w:t>
      </w:r>
    </w:p>
    <w:p w:rsidR="00C9769F" w:rsidRPr="00D50E91" w:rsidRDefault="00C9769F" w:rsidP="00C9769F">
      <w:pPr>
        <w:jc w:val="both"/>
      </w:pPr>
      <w:r w:rsidRPr="00D50E91">
        <w:t>a) 14 m szintmagasság feletti legfelső építményszintű épületek,</w:t>
      </w:r>
    </w:p>
    <w:p w:rsidR="00C9769F" w:rsidRPr="00D50E91" w:rsidRDefault="00C9769F" w:rsidP="00C9769F">
      <w:pPr>
        <w:jc w:val="both"/>
      </w:pPr>
      <w:r w:rsidRPr="00D50E91">
        <w:t>b) a 3</w:t>
      </w:r>
      <w:r w:rsidR="001F2C83" w:rsidRPr="00D50E91">
        <w:t> </w:t>
      </w:r>
      <w:r w:rsidRPr="00D50E91">
        <w:t>000</w:t>
      </w:r>
      <w:r w:rsidR="001F2C83" w:rsidRPr="00D50E91">
        <w:t xml:space="preserve"> </w:t>
      </w:r>
      <w:r w:rsidRPr="00D50E91">
        <w:t>m</w:t>
      </w:r>
      <w:r w:rsidRPr="00D50E91">
        <w:rPr>
          <w:vertAlign w:val="superscript"/>
        </w:rPr>
        <w:t>2</w:t>
      </w:r>
      <w:r w:rsidRPr="00D50E91">
        <w:t xml:space="preserve"> </w:t>
      </w:r>
      <w:r w:rsidR="003528A8">
        <w:t>-</w:t>
      </w:r>
      <w:r w:rsidRPr="00D50E91">
        <w:t xml:space="preserve"> szintenkénti összesített </w:t>
      </w:r>
      <w:r w:rsidR="003528A8">
        <w:t>-</w:t>
      </w:r>
      <w:r w:rsidRPr="00D50E91">
        <w:t xml:space="preserve"> alapterületet meghaladó kereskedelmi rendeltetésű épületek, valamint az ilyen épületrészeket befogadó épületek,</w:t>
      </w:r>
    </w:p>
    <w:p w:rsidR="00C9769F" w:rsidRPr="00D50E91" w:rsidRDefault="00C9769F" w:rsidP="00C9769F">
      <w:pPr>
        <w:jc w:val="both"/>
      </w:pPr>
      <w:r w:rsidRPr="00D50E91">
        <w:t>c) az 5</w:t>
      </w:r>
      <w:r w:rsidR="001F2C83" w:rsidRPr="00D50E91">
        <w:t> </w:t>
      </w:r>
      <w:r w:rsidRPr="00D50E91">
        <w:t>000</w:t>
      </w:r>
      <w:r w:rsidR="001F2C83" w:rsidRPr="00D50E91">
        <w:t xml:space="preserve"> </w:t>
      </w:r>
      <w:r w:rsidRPr="00D50E91">
        <w:t>fő vagy azt meghaladó befogadóképességű helyiséget vagy kültéri nézőteret tartalmazó sportrendeltetésű épületek,</w:t>
      </w:r>
    </w:p>
    <w:p w:rsidR="00C9769F" w:rsidRPr="00D50E91" w:rsidRDefault="00C9769F" w:rsidP="00C9769F">
      <w:pPr>
        <w:jc w:val="both"/>
      </w:pPr>
      <w:r w:rsidRPr="00D50E91">
        <w:t>d) a 300 fő befogadóképességet meghaladó kiskorúak oktatási intézményei vagy</w:t>
      </w:r>
    </w:p>
    <w:p w:rsidR="00C9769F" w:rsidRPr="00D50E91" w:rsidRDefault="00C9769F" w:rsidP="00C9769F">
      <w:pPr>
        <w:jc w:val="both"/>
      </w:pPr>
      <w:r w:rsidRPr="00D50E91">
        <w:t xml:space="preserve">e) a 300 fő befogadóképességet </w:t>
      </w:r>
      <w:r w:rsidR="003528A8">
        <w:t>-</w:t>
      </w:r>
      <w:r w:rsidRPr="00D50E91">
        <w:t xml:space="preserve"> beleértve az ágyszámot, járóbeteg létszámot és a személyzet létszámát </w:t>
      </w:r>
      <w:r w:rsidR="003528A8">
        <w:t>-</w:t>
      </w:r>
      <w:r w:rsidRPr="00D50E91">
        <w:t xml:space="preserve"> meghaladó kórházak és menekülésben korlátozott személyeket ellátó intézmények</w:t>
      </w:r>
    </w:p>
    <w:p w:rsidR="00C9769F" w:rsidRPr="00D50E91" w:rsidRDefault="00C9769F" w:rsidP="00C9769F">
      <w:pPr>
        <w:jc w:val="both"/>
      </w:pPr>
      <w:r w:rsidRPr="00D50E91">
        <w:t>esetében.</w:t>
      </w:r>
    </w:p>
    <w:p w:rsidR="00C9769F" w:rsidRPr="00D50E91" w:rsidRDefault="00C9769F" w:rsidP="00C9769F">
      <w:pPr>
        <w:jc w:val="both"/>
      </w:pPr>
    </w:p>
    <w:p w:rsidR="00C9769F" w:rsidRPr="00D50E91" w:rsidRDefault="00C9769F" w:rsidP="00C9769F">
      <w:pPr>
        <w:jc w:val="both"/>
      </w:pPr>
      <w:r w:rsidRPr="00D50E91">
        <w:t xml:space="preserve">(2) Tűzoltási felvonulási terület és út a létesítendő építménnyel szomszédos telken </w:t>
      </w:r>
      <w:r w:rsidR="003528A8">
        <w:t>-</w:t>
      </w:r>
      <w:r w:rsidRPr="00D50E91">
        <w:t xml:space="preserve"> közterület kivételével </w:t>
      </w:r>
      <w:r w:rsidR="003528A8">
        <w:t>-</w:t>
      </w:r>
      <w:r w:rsidRPr="00D50E91">
        <w:t xml:space="preserve"> nem jelölhető és alakítható ki.</w:t>
      </w:r>
    </w:p>
    <w:p w:rsidR="00C9769F" w:rsidRPr="00D50E91" w:rsidRDefault="00C9769F" w:rsidP="00C9769F">
      <w:pPr>
        <w:jc w:val="both"/>
      </w:pPr>
    </w:p>
    <w:p w:rsidR="00C9769F" w:rsidRPr="00D50E91" w:rsidRDefault="00C9769F" w:rsidP="00C9769F">
      <w:pPr>
        <w:jc w:val="both"/>
      </w:pPr>
      <w:r w:rsidRPr="00D50E91">
        <w:t xml:space="preserve">(3) A tűzoltási felvonulási terület és út kialakítását a tűzvédelmi hatóság köteles a helyi adottságoknak megfelelően </w:t>
      </w:r>
      <w:r w:rsidR="003528A8">
        <w:t>-</w:t>
      </w:r>
      <w:r w:rsidRPr="00D50E91">
        <w:t xml:space="preserve"> saját és segítségnyújtó egységek magasból mentő járműveinek, gépjárműfecskendőinek, más, az érintett épület tűzoltásához tervezett tűzoltó gépjárművének paraméterei alapján </w:t>
      </w:r>
      <w:r w:rsidR="003528A8">
        <w:t>-</w:t>
      </w:r>
      <w:r w:rsidRPr="00D50E91">
        <w:t xml:space="preserve"> a szakhatósági állásfoglalásában meghatározni az építési engedélyezési eljárás keretében.</w:t>
      </w:r>
    </w:p>
    <w:p w:rsidR="00C9769F" w:rsidRPr="00D50E91" w:rsidRDefault="00C9769F" w:rsidP="00C9769F">
      <w:pPr>
        <w:jc w:val="both"/>
      </w:pPr>
    </w:p>
    <w:p w:rsidR="00C9769F" w:rsidRPr="00D50E91" w:rsidRDefault="00C9769F" w:rsidP="00C9769F">
      <w:pPr>
        <w:jc w:val="both"/>
      </w:pPr>
      <w:r w:rsidRPr="00D50E91">
        <w:t>(4) Tűzoltási felvonulási terület és út lezárásának módját a tűzvédelmi hatósággal kell egyeztetni.”</w:t>
      </w:r>
    </w:p>
    <w:p w:rsidR="00C9769F" w:rsidRPr="00D50E91" w:rsidRDefault="00C9769F" w:rsidP="00C9769F">
      <w:pPr>
        <w:jc w:val="both"/>
      </w:pPr>
    </w:p>
    <w:p w:rsidR="00C9769F" w:rsidRPr="00D50E91" w:rsidRDefault="00C9769F" w:rsidP="00C9769F">
      <w:pPr>
        <w:keepNext/>
        <w:numPr>
          <w:ilvl w:val="0"/>
          <w:numId w:val="2"/>
        </w:numPr>
        <w:spacing w:line="276" w:lineRule="auto"/>
        <w:ind w:left="0" w:firstLine="0"/>
        <w:jc w:val="center"/>
        <w:outlineLvl w:val="1"/>
        <w:rPr>
          <w:b/>
          <w:bCs/>
        </w:rPr>
      </w:pPr>
      <w:r w:rsidRPr="00D50E91">
        <w:rPr>
          <w:b/>
          <w:bCs/>
        </w:rPr>
        <w:t>§</w:t>
      </w:r>
    </w:p>
    <w:p w:rsidR="00C9769F" w:rsidRPr="00D50E91" w:rsidRDefault="00C9769F" w:rsidP="00C9769F">
      <w:pPr>
        <w:jc w:val="both"/>
      </w:pPr>
    </w:p>
    <w:p w:rsidR="00C9769F" w:rsidRPr="00D50E91" w:rsidRDefault="00C9769F" w:rsidP="00C9769F">
      <w:pPr>
        <w:jc w:val="both"/>
      </w:pPr>
      <w:r w:rsidRPr="00D50E91">
        <w:t>Az R. 38. alcím címe helyébe a következő alcím cím lép:</w:t>
      </w:r>
    </w:p>
    <w:p w:rsidR="00C9769F" w:rsidRPr="00D50E91" w:rsidRDefault="00C9769F" w:rsidP="00C9769F">
      <w:pPr>
        <w:jc w:val="both"/>
      </w:pPr>
    </w:p>
    <w:p w:rsidR="00C9769F" w:rsidRPr="00D50E91" w:rsidRDefault="00C9769F" w:rsidP="00C9769F">
      <w:pPr>
        <w:jc w:val="center"/>
      </w:pPr>
      <w:r w:rsidRPr="00D50E91">
        <w:t>„</w:t>
      </w:r>
      <w:r w:rsidRPr="00D50E91">
        <w:rPr>
          <w:b/>
        </w:rPr>
        <w:t>38. A tűzoltási felvonulási út és terület paraméterei</w:t>
      </w:r>
      <w:r w:rsidRPr="00D50E91">
        <w:t>”</w:t>
      </w:r>
    </w:p>
    <w:p w:rsidR="00C9769F" w:rsidRPr="00D50E91" w:rsidRDefault="00C9769F" w:rsidP="00C9769F">
      <w:pPr>
        <w:jc w:val="both"/>
      </w:pPr>
    </w:p>
    <w:p w:rsidR="00C9769F" w:rsidRPr="00D50E91" w:rsidRDefault="00C9769F" w:rsidP="00C9769F">
      <w:pPr>
        <w:keepNext/>
        <w:numPr>
          <w:ilvl w:val="0"/>
          <w:numId w:val="2"/>
        </w:numPr>
        <w:spacing w:line="276" w:lineRule="auto"/>
        <w:ind w:left="0" w:firstLine="0"/>
        <w:jc w:val="center"/>
        <w:outlineLvl w:val="1"/>
        <w:rPr>
          <w:b/>
          <w:bCs/>
        </w:rPr>
      </w:pPr>
      <w:r w:rsidRPr="00D50E91">
        <w:rPr>
          <w:b/>
          <w:bCs/>
        </w:rPr>
        <w:t>§</w:t>
      </w:r>
    </w:p>
    <w:p w:rsidR="00C9769F" w:rsidRPr="00D50E91" w:rsidRDefault="00C9769F" w:rsidP="00C9769F">
      <w:pPr>
        <w:jc w:val="both"/>
      </w:pPr>
    </w:p>
    <w:p w:rsidR="00C9769F" w:rsidRPr="00D50E91" w:rsidRDefault="00C9769F" w:rsidP="00C9769F">
      <w:pPr>
        <w:jc w:val="both"/>
      </w:pPr>
      <w:r w:rsidRPr="00D50E91">
        <w:t>Az R. 66</w:t>
      </w:r>
      <w:r w:rsidR="003528A8">
        <w:t>-</w:t>
      </w:r>
      <w:r w:rsidRPr="00D50E91">
        <w:t>68. §</w:t>
      </w:r>
      <w:r w:rsidR="003528A8">
        <w:t>-</w:t>
      </w:r>
      <w:r w:rsidRPr="00D50E91">
        <w:t>a helyébe a következő rendelkezések lépnek:</w:t>
      </w:r>
    </w:p>
    <w:p w:rsidR="00C9769F" w:rsidRPr="00D50E91" w:rsidRDefault="00C9769F" w:rsidP="00C9769F">
      <w:pPr>
        <w:jc w:val="both"/>
      </w:pPr>
    </w:p>
    <w:p w:rsidR="00C9769F" w:rsidRPr="00D50E91" w:rsidRDefault="00C9769F" w:rsidP="00C9769F">
      <w:pPr>
        <w:jc w:val="both"/>
      </w:pPr>
      <w:r w:rsidRPr="00D50E91">
        <w:t>„66. § (1) A tűzoltási felvonulási út és terület biztosítja a beavatkozás és mentés feltételeit. A tűzvédelmi hatósággal egyeztetett homlokzati mentési pontok előtt talpalási helyet kell kialakítani.</w:t>
      </w:r>
    </w:p>
    <w:p w:rsidR="00C9769F" w:rsidRPr="00D50E91" w:rsidRDefault="00C9769F" w:rsidP="00C9769F">
      <w:pPr>
        <w:jc w:val="both"/>
      </w:pPr>
    </w:p>
    <w:p w:rsidR="00C9769F" w:rsidRPr="00D50E91" w:rsidRDefault="00C9769F" w:rsidP="00C9769F">
      <w:pPr>
        <w:jc w:val="both"/>
      </w:pPr>
      <w:r w:rsidRPr="00D50E91">
        <w:t>(2) Ha az épületnek a tűzoltási felvonulási terület felé eső homlokzatához alacsonyabb épületrész vagy építmény csatlakozik, akkor annak kialakítása nem akadályozhatja a magasból mentő gépjármű működését.</w:t>
      </w:r>
    </w:p>
    <w:p w:rsidR="00C9769F" w:rsidRPr="00D50E91" w:rsidRDefault="00C9769F" w:rsidP="00C9769F">
      <w:pPr>
        <w:jc w:val="both"/>
      </w:pPr>
    </w:p>
    <w:p w:rsidR="00C9769F" w:rsidRPr="00D50E91" w:rsidRDefault="00C9769F" w:rsidP="00C9769F">
      <w:pPr>
        <w:jc w:val="both"/>
      </w:pPr>
      <w:r w:rsidRPr="00D50E91">
        <w:t>(3) A tűzoltási felvonulási területen, valamint a tűzoltói vízszerzési helyeken gépjárműparkolót kialakítani nem lehet. Ezeken a helyeken a parkolási tilalmat táblával és a tűzvédelmi hatóság előírása esetén útburkolati jellel jelölni kell.</w:t>
      </w:r>
    </w:p>
    <w:p w:rsidR="00C9769F" w:rsidRPr="00D50E91" w:rsidRDefault="00C9769F" w:rsidP="00C9769F">
      <w:pPr>
        <w:jc w:val="both"/>
      </w:pPr>
    </w:p>
    <w:p w:rsidR="00C9769F" w:rsidRPr="00D50E91" w:rsidRDefault="00C9769F" w:rsidP="00C9769F">
      <w:pPr>
        <w:jc w:val="both"/>
      </w:pPr>
      <w:r w:rsidRPr="00D50E91">
        <w:t>(4) A tűzoltási felvonulási területen a talpalási helyek épület felőli oldalán, a magasból mentő jármű működését légvezetékek, azok tartó és függesztő elemei, oszlopok, tereptárgyak, berendezések, növényzet és más akadályok nem korlátozhatják.</w:t>
      </w:r>
    </w:p>
    <w:p w:rsidR="00C9769F" w:rsidRPr="00D50E91" w:rsidRDefault="00C9769F" w:rsidP="00C9769F">
      <w:pPr>
        <w:jc w:val="both"/>
      </w:pPr>
    </w:p>
    <w:p w:rsidR="00C9769F" w:rsidRPr="00D50E91" w:rsidRDefault="00C9769F" w:rsidP="00C9769F">
      <w:pPr>
        <w:jc w:val="both"/>
      </w:pPr>
      <w:r w:rsidRPr="00D50E91">
        <w:t>(5) A talpalási hely lejtése legfeljebb 5% lehet.</w:t>
      </w:r>
    </w:p>
    <w:p w:rsidR="00C9769F" w:rsidRPr="00D50E91" w:rsidRDefault="00C9769F" w:rsidP="00C9769F">
      <w:pPr>
        <w:jc w:val="both"/>
      </w:pPr>
    </w:p>
    <w:p w:rsidR="00C9769F" w:rsidRPr="00D50E91" w:rsidRDefault="00C9769F" w:rsidP="00C9769F">
      <w:pPr>
        <w:jc w:val="both"/>
      </w:pPr>
      <w:r w:rsidRPr="00D50E91">
        <w:t xml:space="preserve">67. § (1) A 65. § (1) bekezdés a) pontja szerinti épületek tűzoltási felvonulási terület felé eső homlokzatán a földszint feletti szinteken, de legfeljebb az 50 méteres padlószint magasságú szintig, építményszintenként legalább egy homlokzati mentési pontot kell biztosítani. A mentési pontnak az adott szinten tartózkodók által megközelíthetőnek kell lennie. </w:t>
      </w:r>
    </w:p>
    <w:p w:rsidR="00C9769F" w:rsidRPr="00D50E91" w:rsidRDefault="00C9769F" w:rsidP="00C9769F">
      <w:pPr>
        <w:jc w:val="both"/>
      </w:pPr>
    </w:p>
    <w:p w:rsidR="00C9769F" w:rsidRPr="00D50E91" w:rsidRDefault="00C9769F" w:rsidP="00C9769F">
      <w:pPr>
        <w:jc w:val="both"/>
      </w:pPr>
      <w:r w:rsidRPr="00D50E91">
        <w:t xml:space="preserve">(2) A homlokzati mentési pont elhelyezése, mérete biztosítja a magasból mentő gépjárművel való elérhetőséget és a mentés végrehajtását. A mentésre szolgáló nyílászárók helyét – a lakások kivételével </w:t>
      </w:r>
      <w:r w:rsidR="003528A8">
        <w:t>-</w:t>
      </w:r>
      <w:r w:rsidRPr="00D50E91">
        <w:t xml:space="preserve"> a homlokzaton és az épületen belül a mentésre szolgáló nyílászárót tartalmazó helyiség, helyiségcsoport bejáratánál jól látható és maradandó módon kell jelölni.</w:t>
      </w:r>
    </w:p>
    <w:p w:rsidR="00C9769F" w:rsidRPr="00D50E91" w:rsidRDefault="00C9769F" w:rsidP="00C9769F">
      <w:pPr>
        <w:jc w:val="both"/>
      </w:pPr>
    </w:p>
    <w:p w:rsidR="00C9769F" w:rsidRPr="00D50E91" w:rsidRDefault="00C9769F" w:rsidP="00C9769F">
      <w:pPr>
        <w:jc w:val="both"/>
      </w:pPr>
      <w:r w:rsidRPr="00D50E91">
        <w:t>(3) A tűzoltáshoz szükséges vízellátási követelmények szempontjából az épület tűzoltási felvonulási területétől az általános érvényű előírásokon túl</w:t>
      </w:r>
    </w:p>
    <w:p w:rsidR="00C9769F" w:rsidRPr="00D50E91" w:rsidRDefault="00C9769F" w:rsidP="00C9769F">
      <w:pPr>
        <w:jc w:val="both"/>
      </w:pPr>
      <w:r w:rsidRPr="00D50E91">
        <w:t>a) legalább 1 tűzcsapnak a megközelítési útvonalon mérten legfeljebb 50 méterre kell lennie és</w:t>
      </w:r>
    </w:p>
    <w:p w:rsidR="00C9769F" w:rsidRPr="00D50E91" w:rsidRDefault="00C9769F" w:rsidP="00C9769F">
      <w:pPr>
        <w:jc w:val="both"/>
      </w:pPr>
      <w:r w:rsidRPr="00D50E91">
        <w:t>b) az 50 méternél hosszabb tűzoltási felvonulási terület esetén a tűzcsapok legfeljebb 50 m</w:t>
      </w:r>
      <w:r w:rsidR="003528A8">
        <w:t>-</w:t>
      </w:r>
      <w:r w:rsidRPr="00D50E91">
        <w:t>ként helyezhetők el.</w:t>
      </w:r>
    </w:p>
    <w:p w:rsidR="00C9769F" w:rsidRPr="00D50E91" w:rsidRDefault="00C9769F" w:rsidP="00C9769F">
      <w:pPr>
        <w:jc w:val="both"/>
      </w:pPr>
    </w:p>
    <w:p w:rsidR="00C9769F" w:rsidRPr="00D50E91" w:rsidRDefault="00C9769F" w:rsidP="00C9769F">
      <w:pPr>
        <w:jc w:val="both"/>
      </w:pPr>
      <w:r w:rsidRPr="00D50E91">
        <w:t>68. § Ha a tűzoltási felvonulási út vagy terület nem vagy nem teljeskörűen biztosítja a beavatkozás és mentés feltételeit, akkor az épületet úgy kell kialakítani, hogy a benntartózkodók menekülését, mentését és a tűzoltó beavatkozást a tűzoltási felvonulási terület biztosítatlansága ne hátráltassa.”</w:t>
      </w:r>
    </w:p>
    <w:p w:rsidR="00C9769F" w:rsidRPr="00D50E91" w:rsidRDefault="00C9769F" w:rsidP="00C9769F">
      <w:pPr>
        <w:jc w:val="both"/>
      </w:pPr>
    </w:p>
    <w:p w:rsidR="00C9769F" w:rsidRPr="00D50E91" w:rsidRDefault="00C9769F" w:rsidP="00C9769F">
      <w:pPr>
        <w:keepNext/>
        <w:numPr>
          <w:ilvl w:val="0"/>
          <w:numId w:val="2"/>
        </w:numPr>
        <w:spacing w:line="276" w:lineRule="auto"/>
        <w:ind w:left="0" w:firstLine="0"/>
        <w:jc w:val="center"/>
        <w:outlineLvl w:val="1"/>
        <w:rPr>
          <w:b/>
          <w:bCs/>
        </w:rPr>
      </w:pPr>
      <w:r w:rsidRPr="00D50E91">
        <w:rPr>
          <w:b/>
          <w:bCs/>
        </w:rPr>
        <w:t>§</w:t>
      </w:r>
    </w:p>
    <w:p w:rsidR="00C9769F" w:rsidRPr="00D50E91" w:rsidRDefault="00C9769F" w:rsidP="00C9769F">
      <w:pPr>
        <w:jc w:val="both"/>
      </w:pPr>
    </w:p>
    <w:p w:rsidR="00C9769F" w:rsidRPr="00D50E91" w:rsidRDefault="00C9769F" w:rsidP="00C9769F">
      <w:pPr>
        <w:jc w:val="both"/>
      </w:pPr>
      <w:r w:rsidRPr="00D50E91">
        <w:t>Az R. 71. § és 72. §</w:t>
      </w:r>
      <w:r w:rsidR="003528A8">
        <w:t>-a</w:t>
      </w:r>
      <w:r w:rsidRPr="00D50E91">
        <w:t xml:space="preserve"> helyébe a következő rendelkezések lépnek:</w:t>
      </w:r>
    </w:p>
    <w:p w:rsidR="00C9769F" w:rsidRPr="00D50E91" w:rsidRDefault="00C9769F" w:rsidP="00C9769F">
      <w:pPr>
        <w:jc w:val="both"/>
      </w:pPr>
    </w:p>
    <w:p w:rsidR="00C9769F" w:rsidRPr="00D50E91" w:rsidRDefault="00C9769F" w:rsidP="00C9769F">
      <w:pPr>
        <w:jc w:val="both"/>
      </w:pPr>
      <w:r w:rsidRPr="00D50E91">
        <w:t>„71. § Olyan helyen, ahol a víz nem alkalmazható az építményben keletkezhető tűz oltására, oltóvízellátás helyett az ott keletkezhető tűz oltására alkalmas tűzoltó berendezést, eszközt, készüléket, felszerelést és anyagot kell a helyszínen készenlétben tartani. Az oltóvíz helyett alkalmazott tűzoltó berendezések, eszközök, felszerelések, anyagok fajtáját, telepítési, tárolási helyét a tűzvédelmi hatósággal egyeztetni kell.</w:t>
      </w:r>
    </w:p>
    <w:p w:rsidR="00C9769F" w:rsidRPr="00D50E91" w:rsidRDefault="00C9769F" w:rsidP="00C9769F">
      <w:pPr>
        <w:jc w:val="both"/>
      </w:pPr>
    </w:p>
    <w:p w:rsidR="00C9769F" w:rsidRPr="00D50E91" w:rsidRDefault="00C9769F" w:rsidP="00C9769F">
      <w:pPr>
        <w:jc w:val="both"/>
      </w:pPr>
      <w:r w:rsidRPr="00D50E91">
        <w:t>72. § (1) Tűzoltás céljára a szükséges oltóvíz</w:t>
      </w:r>
      <w:r w:rsidR="003528A8">
        <w:t>-</w:t>
      </w:r>
      <w:r w:rsidRPr="00D50E91">
        <w:t>intenzitást a mértékadó tűzszakasz alapterülete alapján a 8. mellékletben foglalt 1. táblázat szerint kell meghatározni. Az AK, KK és MK kockázati osztályba tartozó kockázati egység tűzszakaszainak alapterülete a szükséges oltóvíz</w:t>
      </w:r>
      <w:r w:rsidR="003528A8">
        <w:t>-</w:t>
      </w:r>
      <w:r w:rsidRPr="00D50E91">
        <w:t>intenzitás meghatározása során 2</w:t>
      </w:r>
      <w:r w:rsidR="003528A8">
        <w:t>-</w:t>
      </w:r>
      <w:r w:rsidRPr="00D50E91">
        <w:t>5 építményszinttel rendelkező tűzszakasz esetén 20 %</w:t>
      </w:r>
      <w:r w:rsidR="003528A8">
        <w:t>-</w:t>
      </w:r>
      <w:r w:rsidRPr="00D50E91">
        <w:t>kal, 6 vagy több építményszinttel rendelkező tűzszakasz esetén 30 %</w:t>
      </w:r>
      <w:r w:rsidR="003528A8">
        <w:t>-</w:t>
      </w:r>
      <w:r w:rsidRPr="00D50E91">
        <w:t>kal csökkenthető, ha a tűzszakaszon belül bármely két szint esetén a kisebb alapterületű szint alapterületéhez képest a nagyobb alapterülete legfeljebb 30%</w:t>
      </w:r>
      <w:r w:rsidR="003528A8">
        <w:t>-</w:t>
      </w:r>
      <w:r w:rsidRPr="00D50E91">
        <w:t>kal tér el.</w:t>
      </w:r>
    </w:p>
    <w:p w:rsidR="00C9769F" w:rsidRPr="00D50E91" w:rsidRDefault="00C9769F" w:rsidP="00C9769F">
      <w:pPr>
        <w:jc w:val="both"/>
      </w:pPr>
    </w:p>
    <w:p w:rsidR="00C9769F" w:rsidRPr="00D50E91" w:rsidRDefault="00C9769F" w:rsidP="00C9769F">
      <w:pPr>
        <w:jc w:val="both"/>
      </w:pPr>
      <w:r w:rsidRPr="00D50E91">
        <w:lastRenderedPageBreak/>
        <w:t>(2) Az 1</w:t>
      </w:r>
      <w:r w:rsidR="001F2C83" w:rsidRPr="00D50E91">
        <w:t> </w:t>
      </w:r>
      <w:r w:rsidRPr="00D50E91">
        <w:t>200</w:t>
      </w:r>
      <w:r w:rsidR="001F2C83" w:rsidRPr="00D50E91">
        <w:t xml:space="preserve"> </w:t>
      </w:r>
      <w:r w:rsidRPr="00D50E91">
        <w:t>m</w:t>
      </w:r>
      <w:r w:rsidRPr="00D50E91">
        <w:rPr>
          <w:vertAlign w:val="superscript"/>
        </w:rPr>
        <w:t>2</w:t>
      </w:r>
      <w:r w:rsidR="003528A8">
        <w:t>-</w:t>
      </w:r>
      <w:r w:rsidRPr="00D50E91">
        <w:t>nél nagyobb alapterületű, állattartásra szolgáló épületeknél a szükséges oltóvíz</w:t>
      </w:r>
      <w:r w:rsidR="003528A8">
        <w:t>-</w:t>
      </w:r>
      <w:r w:rsidRPr="00D50E91">
        <w:t>intenzitás 1</w:t>
      </w:r>
      <w:r w:rsidR="001F2C83" w:rsidRPr="00D50E91">
        <w:t> </w:t>
      </w:r>
      <w:r w:rsidRPr="00D50E91">
        <w:t>800</w:t>
      </w:r>
      <w:r w:rsidR="001F2C83" w:rsidRPr="00D50E91">
        <w:t xml:space="preserve"> </w:t>
      </w:r>
      <w:r w:rsidRPr="00D50E91">
        <w:t>liter/perc.</w:t>
      </w:r>
    </w:p>
    <w:p w:rsidR="00C9769F" w:rsidRPr="00D50E91" w:rsidRDefault="00C9769F" w:rsidP="00C9769F">
      <w:pPr>
        <w:jc w:val="both"/>
      </w:pPr>
    </w:p>
    <w:p w:rsidR="00C9769F" w:rsidRPr="00D50E91" w:rsidRDefault="00C9769F" w:rsidP="00C9769F">
      <w:pPr>
        <w:jc w:val="both"/>
      </w:pPr>
      <w:r w:rsidRPr="00D50E91">
        <w:t xml:space="preserve">(3) Az oltóvizet folyamatosan </w:t>
      </w:r>
      <w:r w:rsidR="003528A8">
        <w:t>-</w:t>
      </w:r>
      <w:r w:rsidRPr="00D50E91">
        <w:t xml:space="preserve"> a létesítmény mértékadó tűzszakaszára, </w:t>
      </w:r>
      <w:r w:rsidR="003528A8">
        <w:t>-</w:t>
      </w:r>
      <w:r w:rsidRPr="00D50E91">
        <w:t xml:space="preserve"> épületen belüli mértékadó tűzszakasz esetén a mértékadó tűzszakaszt befogadó kockázati egység kockázati osztálya függvényében</w:t>
      </w:r>
    </w:p>
    <w:p w:rsidR="00C9769F" w:rsidRPr="00D50E91" w:rsidRDefault="00C9769F" w:rsidP="00C9769F">
      <w:pPr>
        <w:jc w:val="both"/>
      </w:pPr>
      <w:r w:rsidRPr="00D50E91">
        <w:t>a) NAK osztály esetén legalább fél órán keresztül,</w:t>
      </w:r>
    </w:p>
    <w:p w:rsidR="00C9769F" w:rsidRPr="00D50E91" w:rsidRDefault="00C9769F" w:rsidP="00C9769F">
      <w:pPr>
        <w:jc w:val="both"/>
      </w:pPr>
      <w:r w:rsidRPr="00D50E91">
        <w:t>b) AK osztály esetén legalább egy órán keresztül,</w:t>
      </w:r>
    </w:p>
    <w:p w:rsidR="00C9769F" w:rsidRPr="00D50E91" w:rsidRDefault="00C9769F" w:rsidP="00C9769F">
      <w:pPr>
        <w:jc w:val="both"/>
      </w:pPr>
      <w:r w:rsidRPr="00D50E91">
        <w:t>c) KK osztály esetén legalább másfél órán keresztül,</w:t>
      </w:r>
    </w:p>
    <w:p w:rsidR="00C9769F" w:rsidRPr="00D50E91" w:rsidRDefault="00C9769F" w:rsidP="00C9769F">
      <w:pPr>
        <w:jc w:val="both"/>
      </w:pPr>
      <w:r w:rsidRPr="00D50E91">
        <w:t>d) MK osztály esetén legalább két órán keresztül</w:t>
      </w:r>
    </w:p>
    <w:p w:rsidR="00C9769F" w:rsidRPr="00D50E91" w:rsidRDefault="00C9769F" w:rsidP="00C9769F">
      <w:pPr>
        <w:jc w:val="both"/>
      </w:pPr>
      <w:r w:rsidRPr="00D50E91">
        <w:t>kell biztosítani.</w:t>
      </w:r>
    </w:p>
    <w:p w:rsidR="00C9769F" w:rsidRPr="00D50E91" w:rsidRDefault="00C9769F" w:rsidP="00C9769F">
      <w:pPr>
        <w:jc w:val="both"/>
      </w:pPr>
    </w:p>
    <w:p w:rsidR="00C9769F" w:rsidRPr="00D50E91" w:rsidRDefault="00C9769F" w:rsidP="00C9769F">
      <w:pPr>
        <w:jc w:val="both"/>
      </w:pPr>
      <w:r w:rsidRPr="00D50E91">
        <w:t>(4) Jogszabály eltérő rendelkezése hiányában, ha a mértékadó tűzszakaszt létesítményen belüli szabadtéri tárolóterület alkotja, az oltóvizet</w:t>
      </w:r>
    </w:p>
    <w:p w:rsidR="00C9769F" w:rsidRPr="00D50E91" w:rsidRDefault="00C9769F" w:rsidP="00C9769F">
      <w:pPr>
        <w:jc w:val="both"/>
      </w:pPr>
      <w:r w:rsidRPr="00D50E91">
        <w:t>a) nem tűzveszélyes osztályba tartozó anyag, ilyen anyagokból készített termék tárolása esetén, ha azt éghető anyagú csomagolással vagy éghető anyagú tárolóeszköz alkalmazásával tárolják, legalább fél órán keresztül,</w:t>
      </w:r>
    </w:p>
    <w:p w:rsidR="00C9769F" w:rsidRPr="00D50E91" w:rsidRDefault="00C9769F" w:rsidP="00C9769F">
      <w:pPr>
        <w:jc w:val="both"/>
      </w:pPr>
      <w:r w:rsidRPr="00D50E91">
        <w:t>b) mérsékelten tűzveszélyes osztályba tartozó anyag, ilyen anyagokból készített termék esetén a csomagolás éghetőségétől függetlenül, legalább egy órán keresztül</w:t>
      </w:r>
    </w:p>
    <w:p w:rsidR="00C9769F" w:rsidRPr="00D50E91" w:rsidRDefault="00C9769F" w:rsidP="00C9769F">
      <w:pPr>
        <w:jc w:val="both"/>
      </w:pPr>
      <w:r w:rsidRPr="00D50E91">
        <w:t>c) fokozottan tűz</w:t>
      </w:r>
      <w:r w:rsidR="003528A8">
        <w:t>-</w:t>
      </w:r>
      <w:r w:rsidRPr="00D50E91">
        <w:t xml:space="preserve"> vagy robbanásveszélyes anyagok tárolása esetén</w:t>
      </w:r>
    </w:p>
    <w:p w:rsidR="00C9769F" w:rsidRPr="00D50E91" w:rsidRDefault="00C9769F" w:rsidP="00C9769F">
      <w:pPr>
        <w:jc w:val="both"/>
      </w:pPr>
      <w:r w:rsidRPr="00D50E91">
        <w:t>ca) 10 000 l/kg</w:t>
      </w:r>
      <w:r w:rsidR="003528A8">
        <w:t>-</w:t>
      </w:r>
      <w:r w:rsidRPr="00D50E91">
        <w:t>t meg nem haladó mennyiség esetén legalább másfél órán keresztül,</w:t>
      </w:r>
    </w:p>
    <w:p w:rsidR="00C9769F" w:rsidRPr="00D50E91" w:rsidRDefault="00C9769F" w:rsidP="00C9769F">
      <w:pPr>
        <w:jc w:val="both"/>
      </w:pPr>
      <w:r w:rsidRPr="00D50E91">
        <w:t>cb) 10 000 l/kg</w:t>
      </w:r>
      <w:r w:rsidR="003528A8">
        <w:t>-</w:t>
      </w:r>
      <w:r w:rsidRPr="00D50E91">
        <w:t xml:space="preserve">t meghaladó mennyiség esetén legalább két órán keresztül </w:t>
      </w:r>
    </w:p>
    <w:p w:rsidR="00C9769F" w:rsidRPr="00D50E91" w:rsidRDefault="00C9769F" w:rsidP="00C9769F">
      <w:pPr>
        <w:jc w:val="both"/>
      </w:pPr>
      <w:r w:rsidRPr="00D50E91">
        <w:t>kell biztosítani.</w:t>
      </w:r>
    </w:p>
    <w:p w:rsidR="00C9769F" w:rsidRPr="00D50E91" w:rsidRDefault="00C9769F" w:rsidP="00C9769F">
      <w:pPr>
        <w:jc w:val="both"/>
      </w:pPr>
    </w:p>
    <w:p w:rsidR="00C9769F" w:rsidRPr="00D50E91" w:rsidRDefault="00C9769F" w:rsidP="00C9769F">
      <w:pPr>
        <w:jc w:val="both"/>
      </w:pPr>
      <w:r w:rsidRPr="00D50E91">
        <w:t>(5) A 10 MVA</w:t>
      </w:r>
      <w:r w:rsidR="003528A8">
        <w:t>-</w:t>
      </w:r>
      <w:r w:rsidRPr="00D50E91">
        <w:t xml:space="preserve">nál nagyobb beépített névleges összteljesítmény feletti transzformátorállomásokon </w:t>
      </w:r>
      <w:r w:rsidR="003528A8">
        <w:t>-</w:t>
      </w:r>
      <w:r w:rsidRPr="00D50E91">
        <w:t xml:space="preserve"> a legnagyobb transzformátor külső főméreteiből számított burkoló felületére az alapfelület nélkül számított </w:t>
      </w:r>
      <w:r w:rsidR="003528A8">
        <w:t>-</w:t>
      </w:r>
      <w:r w:rsidRPr="00D50E91">
        <w:t xml:space="preserve"> 16 liter/perc x m</w:t>
      </w:r>
      <w:r w:rsidRPr="00D50E91">
        <w:rPr>
          <w:vertAlign w:val="superscript"/>
        </w:rPr>
        <w:t>2</w:t>
      </w:r>
      <w:r w:rsidRPr="00D50E91">
        <w:t xml:space="preserve"> fajlagos térfogatáram mellett, a 10 perc oltási időnek megfelelő oltóvízmennyiség háromszorosát kell biztosítani.</w:t>
      </w:r>
    </w:p>
    <w:p w:rsidR="00C9769F" w:rsidRPr="00D50E91" w:rsidRDefault="00C9769F" w:rsidP="00C9769F">
      <w:pPr>
        <w:jc w:val="both"/>
      </w:pPr>
    </w:p>
    <w:p w:rsidR="00C9769F" w:rsidRPr="00D50E91" w:rsidRDefault="00C9769F" w:rsidP="00C9769F">
      <w:pPr>
        <w:jc w:val="both"/>
      </w:pPr>
      <w:r w:rsidRPr="00D50E91">
        <w:t>(6) A kommunális hulladéklerakó szabadtéri tároló területére 1</w:t>
      </w:r>
      <w:r w:rsidR="001F2C83" w:rsidRPr="00D50E91">
        <w:t> </w:t>
      </w:r>
      <w:r w:rsidRPr="00D50E91">
        <w:t>800</w:t>
      </w:r>
      <w:r w:rsidR="001F2C83" w:rsidRPr="00D50E91">
        <w:t xml:space="preserve"> </w:t>
      </w:r>
      <w:r w:rsidRPr="00D50E91">
        <w:t>liter/perc oltóvíz</w:t>
      </w:r>
      <w:r w:rsidR="003528A8">
        <w:t>-</w:t>
      </w:r>
      <w:r w:rsidRPr="00D50E91">
        <w:t>intenzitást kell biztosítani másfél órán keresztül.</w:t>
      </w:r>
    </w:p>
    <w:p w:rsidR="00C9769F" w:rsidRPr="00D50E91" w:rsidRDefault="00C9769F" w:rsidP="00C9769F">
      <w:pPr>
        <w:jc w:val="both"/>
      </w:pPr>
    </w:p>
    <w:p w:rsidR="00C9769F" w:rsidRPr="00D50E91" w:rsidRDefault="00C9769F" w:rsidP="00C9769F">
      <w:pPr>
        <w:jc w:val="both"/>
      </w:pPr>
      <w:r w:rsidRPr="00D50E91">
        <w:t>(7) A tűzszakasz teljes területére kiépített vízzel oltó berendezés esetén a 8. mellékletben foglalt 1. táblázat szerint szükséges oltóvíz</w:t>
      </w:r>
      <w:r w:rsidR="003528A8">
        <w:t>-</w:t>
      </w:r>
      <w:r w:rsidRPr="00D50E91">
        <w:t>intenzitás mértéke legfeljebb 70%</w:t>
      </w:r>
      <w:r w:rsidR="003528A8">
        <w:t>-</w:t>
      </w:r>
      <w:r w:rsidRPr="00D50E91">
        <w:t xml:space="preserve">ig csökkenthető a berendezés működéséhez szükséges vízkészlet (literben) és az oltóvíz </w:t>
      </w:r>
      <w:r w:rsidR="003528A8">
        <w:t>-</w:t>
      </w:r>
      <w:r w:rsidRPr="00D50E91">
        <w:t xml:space="preserve"> az (1) bekezdés szerint folyamatosan biztosítandó </w:t>
      </w:r>
      <w:r w:rsidR="003528A8">
        <w:t>-</w:t>
      </w:r>
      <w:r w:rsidRPr="00D50E91">
        <w:t xml:space="preserve"> idejének (percben) hányadosával abban az esetben, ha az (1) bekezdés szerinti csökkentést nem alkalmazták.</w:t>
      </w:r>
    </w:p>
    <w:p w:rsidR="00C9769F" w:rsidRPr="00D50E91" w:rsidRDefault="00C9769F" w:rsidP="00C9769F">
      <w:pPr>
        <w:jc w:val="both"/>
      </w:pPr>
    </w:p>
    <w:p w:rsidR="00C9769F" w:rsidRPr="00D50E91" w:rsidRDefault="00C9769F" w:rsidP="00C9769F">
      <w:pPr>
        <w:jc w:val="both"/>
      </w:pPr>
      <w:r w:rsidRPr="00D50E91">
        <w:t>(8) Az oltóvíz</w:t>
      </w:r>
      <w:r w:rsidR="003528A8">
        <w:t>-</w:t>
      </w:r>
      <w:r w:rsidRPr="00D50E91">
        <w:t>intenzitás mértékének (7) bekezdés szerinti csökkentése esetén a sprinklerberendezés tároló</w:t>
      </w:r>
      <w:r w:rsidR="003528A8">
        <w:t>-</w:t>
      </w:r>
      <w:r w:rsidRPr="00D50E91">
        <w:t xml:space="preserve"> vagy közbenső tartályát a 82. § (2), (3) és (6)</w:t>
      </w:r>
      <w:r w:rsidR="003528A8">
        <w:t>-</w:t>
      </w:r>
      <w:r w:rsidRPr="00D50E91">
        <w:t>(8) bekezdésében foglaltak figyelembevételével kell kialakítani.</w:t>
      </w:r>
    </w:p>
    <w:p w:rsidR="00C9769F" w:rsidRPr="00D50E91" w:rsidRDefault="00C9769F" w:rsidP="00C9769F">
      <w:pPr>
        <w:jc w:val="both"/>
      </w:pPr>
    </w:p>
    <w:p w:rsidR="00C9769F" w:rsidRPr="00D50E91" w:rsidRDefault="00C9769F" w:rsidP="00C9769F">
      <w:pPr>
        <w:jc w:val="both"/>
      </w:pPr>
      <w:r w:rsidRPr="00D50E91">
        <w:t>(9) Minden vízszerzési helyet úgy kell kialakítani, hogy az tűzoltó gépjárművel mindenkor megközelíthető, az előírt oltóvíz mennyiség akadálytalanul kivehető legyen az időjárástól és természetes felszíni vizek esetén a vízállástól függetlenül.”</w:t>
      </w:r>
    </w:p>
    <w:p w:rsidR="00C9769F" w:rsidRPr="00D50E91" w:rsidRDefault="00C9769F" w:rsidP="00C9769F">
      <w:pPr>
        <w:jc w:val="both"/>
      </w:pPr>
    </w:p>
    <w:p w:rsidR="00C9769F" w:rsidRPr="00D50E91" w:rsidRDefault="00C9769F" w:rsidP="00C9769F">
      <w:pPr>
        <w:keepNext/>
        <w:numPr>
          <w:ilvl w:val="0"/>
          <w:numId w:val="2"/>
        </w:numPr>
        <w:spacing w:line="276" w:lineRule="auto"/>
        <w:ind w:left="0" w:firstLine="0"/>
        <w:jc w:val="center"/>
        <w:outlineLvl w:val="1"/>
        <w:rPr>
          <w:b/>
          <w:bCs/>
        </w:rPr>
      </w:pPr>
      <w:r w:rsidRPr="00D50E91">
        <w:rPr>
          <w:b/>
          <w:bCs/>
        </w:rPr>
        <w:t>§</w:t>
      </w:r>
    </w:p>
    <w:p w:rsidR="00C9769F" w:rsidRPr="00D50E91" w:rsidRDefault="00C9769F" w:rsidP="00C9769F">
      <w:pPr>
        <w:jc w:val="both"/>
      </w:pPr>
    </w:p>
    <w:p w:rsidR="00C9769F" w:rsidRPr="00D50E91" w:rsidRDefault="00C9769F" w:rsidP="00C9769F">
      <w:pPr>
        <w:jc w:val="both"/>
      </w:pPr>
      <w:r w:rsidRPr="00D50E91">
        <w:t>Az R. 75. § (5) bekezdés helyébe a következő rendelkezés lép:</w:t>
      </w:r>
    </w:p>
    <w:p w:rsidR="00C9769F" w:rsidRPr="00D50E91" w:rsidRDefault="00C9769F" w:rsidP="00C9769F">
      <w:pPr>
        <w:jc w:val="both"/>
      </w:pPr>
    </w:p>
    <w:p w:rsidR="00C9769F" w:rsidRPr="00D50E91" w:rsidRDefault="00C9769F" w:rsidP="00C9769F">
      <w:pPr>
        <w:jc w:val="both"/>
      </w:pPr>
      <w:r w:rsidRPr="00D50E91">
        <w:lastRenderedPageBreak/>
        <w:t>„(5) A (3) bekezdéstől eltérően az éghető folyadékot feldolgozó finomítóknál, valamint a fokozottan tűz</w:t>
      </w:r>
      <w:r w:rsidR="003528A8">
        <w:t>-</w:t>
      </w:r>
      <w:r w:rsidRPr="00D50E91">
        <w:t xml:space="preserve"> vagy robbanásveszélyes folyadékot 1</w:t>
      </w:r>
      <w:r w:rsidR="001F2C83" w:rsidRPr="00D50E91">
        <w:t> </w:t>
      </w:r>
      <w:r w:rsidRPr="00D50E91">
        <w:t>000</w:t>
      </w:r>
      <w:r w:rsidR="001F2C83" w:rsidRPr="00D50E91">
        <w:t xml:space="preserve"> </w:t>
      </w:r>
      <w:r w:rsidRPr="00D50E91">
        <w:t>m</w:t>
      </w:r>
      <w:r w:rsidRPr="00D50E91">
        <w:rPr>
          <w:vertAlign w:val="superscript"/>
        </w:rPr>
        <w:t>3</w:t>
      </w:r>
      <w:r w:rsidR="003528A8">
        <w:t>-</w:t>
      </w:r>
      <w:r w:rsidRPr="00D50E91">
        <w:t>nél nagyobb tárolási egységekben tároló tartálytelepeken, valamint azon gáztároló esetében, ahol a nyomás alatti vagy mélyhűtött fokozottan tűz</w:t>
      </w:r>
      <w:r w:rsidR="003528A8">
        <w:t>-</w:t>
      </w:r>
      <w:r w:rsidRPr="00D50E91">
        <w:t xml:space="preserve"> vagy robbanásveszélyes osztályba tartozó gázt tároló tartály befogadóképessége meghaladja a 200 tonnát, olyan oltóvízvezeték</w:t>
      </w:r>
      <w:r w:rsidR="003528A8">
        <w:t>-</w:t>
      </w:r>
      <w:r w:rsidRPr="00D50E91">
        <w:t>hálózatot kell létesíteni, amely a vízkivétel szempontjából legkedvezőtlenebb tűzcsapnál 200 mm</w:t>
      </w:r>
      <w:r w:rsidRPr="00D50E91">
        <w:rPr>
          <w:vertAlign w:val="superscript"/>
        </w:rPr>
        <w:t>2</w:t>
      </w:r>
      <w:r w:rsidR="003528A8">
        <w:t>-</w:t>
      </w:r>
      <w:r w:rsidRPr="00D50E91">
        <w:t>es kiáramlási keresztmetszetnél legalább 1</w:t>
      </w:r>
      <w:r w:rsidR="001F2C83" w:rsidRPr="00D50E91">
        <w:t> </w:t>
      </w:r>
      <w:r w:rsidRPr="00D50E91">
        <w:t>200</w:t>
      </w:r>
      <w:r w:rsidR="001F2C83" w:rsidRPr="00D50E91">
        <w:t xml:space="preserve"> </w:t>
      </w:r>
      <w:r w:rsidRPr="00D50E91">
        <w:t>kPa (12 bar) kifolyási nyomást biztosít.</w:t>
      </w:r>
    </w:p>
    <w:p w:rsidR="00C9769F" w:rsidRPr="00D50E91" w:rsidRDefault="00C9769F" w:rsidP="00C9769F">
      <w:pPr>
        <w:jc w:val="both"/>
      </w:pPr>
    </w:p>
    <w:p w:rsidR="00C9769F" w:rsidRPr="00D50E91" w:rsidRDefault="00C9769F" w:rsidP="00C9769F">
      <w:pPr>
        <w:keepNext/>
        <w:numPr>
          <w:ilvl w:val="0"/>
          <w:numId w:val="2"/>
        </w:numPr>
        <w:spacing w:line="276" w:lineRule="auto"/>
        <w:ind w:left="0" w:firstLine="0"/>
        <w:jc w:val="center"/>
        <w:outlineLvl w:val="1"/>
        <w:rPr>
          <w:b/>
          <w:bCs/>
        </w:rPr>
      </w:pPr>
      <w:r w:rsidRPr="00D50E91">
        <w:rPr>
          <w:b/>
          <w:bCs/>
        </w:rPr>
        <w:t>§</w:t>
      </w:r>
    </w:p>
    <w:p w:rsidR="00C9769F" w:rsidRPr="00D50E91" w:rsidRDefault="00C9769F" w:rsidP="00C9769F">
      <w:pPr>
        <w:jc w:val="both"/>
      </w:pPr>
    </w:p>
    <w:p w:rsidR="00C9769F" w:rsidRPr="00D50E91" w:rsidRDefault="00C9769F" w:rsidP="00C9769F">
      <w:pPr>
        <w:jc w:val="both"/>
      </w:pPr>
      <w:r w:rsidRPr="00D50E91">
        <w:t>(1) Az R. 79. § (1) bekezdés c) pontja helyébe a következő rendelkezés lép:</w:t>
      </w:r>
    </w:p>
    <w:p w:rsidR="00C9769F" w:rsidRPr="00D50E91" w:rsidRDefault="00C9769F" w:rsidP="00C9769F">
      <w:pPr>
        <w:jc w:val="both"/>
      </w:pPr>
    </w:p>
    <w:p w:rsidR="00C9769F" w:rsidRPr="00D50E91" w:rsidRDefault="00C9769F" w:rsidP="00C9769F">
      <w:pPr>
        <w:jc w:val="both"/>
        <w:rPr>
          <w:i/>
        </w:rPr>
      </w:pPr>
      <w:r w:rsidRPr="00D50E91">
        <w:rPr>
          <w:i/>
        </w:rPr>
        <w:t xml:space="preserve">[Vezetékes vízellátás esetén </w:t>
      </w:r>
      <w:r w:rsidR="003528A8">
        <w:rPr>
          <w:i/>
        </w:rPr>
        <w:t>-</w:t>
      </w:r>
      <w:r w:rsidRPr="00D50E91">
        <w:rPr>
          <w:i/>
        </w:rPr>
        <w:t xml:space="preserve"> a legfeljebb 14 méter legfelső padlószintmagasságú lakóépületek kivételével </w:t>
      </w:r>
      <w:r w:rsidR="003528A8">
        <w:rPr>
          <w:i/>
        </w:rPr>
        <w:t>-</w:t>
      </w:r>
      <w:r w:rsidRPr="00D50E91">
        <w:rPr>
          <w:i/>
        </w:rPr>
        <w:t xml:space="preserve"> fali tűzcsapot is kell létesíteni]</w:t>
      </w:r>
    </w:p>
    <w:p w:rsidR="00C9769F" w:rsidRPr="00D50E91" w:rsidRDefault="00C9769F" w:rsidP="00C9769F">
      <w:pPr>
        <w:jc w:val="both"/>
      </w:pPr>
      <w:r w:rsidRPr="00D50E91">
        <w:t>„c) az MK osztályba tartozó kockázati egység 200 m</w:t>
      </w:r>
      <w:r w:rsidRPr="00D50E91">
        <w:rPr>
          <w:vertAlign w:val="superscript"/>
        </w:rPr>
        <w:t>2</w:t>
      </w:r>
      <w:r w:rsidR="003528A8">
        <w:t>-</w:t>
      </w:r>
      <w:r w:rsidRPr="00D50E91">
        <w:t>nél, a KK osztályba tartozó kockázati egység 500 m</w:t>
      </w:r>
      <w:r w:rsidRPr="00D50E91">
        <w:rPr>
          <w:vertAlign w:val="superscript"/>
        </w:rPr>
        <w:t>2</w:t>
      </w:r>
      <w:r w:rsidR="003528A8">
        <w:t>-</w:t>
      </w:r>
      <w:r w:rsidRPr="00D50E91">
        <w:t>nél és az AK osztályba tartozó kockázati egység 1</w:t>
      </w:r>
      <w:r w:rsidR="001F2C83" w:rsidRPr="00D50E91">
        <w:t> </w:t>
      </w:r>
      <w:r w:rsidRPr="00D50E91">
        <w:t>000</w:t>
      </w:r>
      <w:r w:rsidR="001F2C83" w:rsidRPr="00D50E91">
        <w:t xml:space="preserve"> </w:t>
      </w:r>
      <w:r w:rsidRPr="00D50E91">
        <w:t>m</w:t>
      </w:r>
      <w:r w:rsidRPr="00D50E91">
        <w:rPr>
          <w:vertAlign w:val="superscript"/>
        </w:rPr>
        <w:t>2</w:t>
      </w:r>
      <w:r w:rsidR="003528A8">
        <w:t>-</w:t>
      </w:r>
      <w:r w:rsidRPr="00D50E91">
        <w:t>nél nagyobb alapterületű tűzszakaszában.</w:t>
      </w:r>
    </w:p>
    <w:p w:rsidR="00C9769F" w:rsidRPr="00D50E91" w:rsidRDefault="00C9769F" w:rsidP="00C9769F">
      <w:pPr>
        <w:jc w:val="both"/>
      </w:pPr>
    </w:p>
    <w:p w:rsidR="00C9769F" w:rsidRPr="00D50E91" w:rsidRDefault="00C9769F" w:rsidP="00C9769F">
      <w:pPr>
        <w:keepNext/>
        <w:numPr>
          <w:ilvl w:val="0"/>
          <w:numId w:val="2"/>
        </w:numPr>
        <w:spacing w:line="276" w:lineRule="auto"/>
        <w:ind w:left="0" w:firstLine="0"/>
        <w:jc w:val="center"/>
        <w:outlineLvl w:val="1"/>
        <w:rPr>
          <w:b/>
          <w:bCs/>
        </w:rPr>
      </w:pPr>
      <w:r w:rsidRPr="00D50E91">
        <w:rPr>
          <w:b/>
          <w:bCs/>
        </w:rPr>
        <w:t>§</w:t>
      </w:r>
    </w:p>
    <w:p w:rsidR="00C9769F" w:rsidRPr="00D50E91" w:rsidRDefault="00C9769F" w:rsidP="00C9769F">
      <w:pPr>
        <w:jc w:val="both"/>
      </w:pPr>
    </w:p>
    <w:p w:rsidR="00C9769F" w:rsidRPr="00D50E91" w:rsidRDefault="00C9769F" w:rsidP="00C9769F">
      <w:pPr>
        <w:jc w:val="both"/>
      </w:pPr>
      <w:r w:rsidRPr="00D50E91">
        <w:t>Az R. 44. alcím címe helyébe a következő alcím cím lép:</w:t>
      </w:r>
    </w:p>
    <w:p w:rsidR="00C9769F" w:rsidRPr="00D50E91" w:rsidRDefault="00C9769F" w:rsidP="00C9769F">
      <w:pPr>
        <w:jc w:val="both"/>
      </w:pPr>
    </w:p>
    <w:p w:rsidR="00C9769F" w:rsidRPr="00D50E91" w:rsidRDefault="00C9769F" w:rsidP="00C9769F">
      <w:pPr>
        <w:jc w:val="center"/>
      </w:pPr>
      <w:r w:rsidRPr="00D50E91">
        <w:t>„</w:t>
      </w:r>
      <w:r w:rsidRPr="00D50E91">
        <w:rPr>
          <w:b/>
        </w:rPr>
        <w:t>44. Az épületbe jutás biztosítása</w:t>
      </w:r>
      <w:r w:rsidRPr="00D50E91">
        <w:t>”</w:t>
      </w:r>
    </w:p>
    <w:p w:rsidR="00C9769F" w:rsidRPr="00D50E91" w:rsidRDefault="00C9769F" w:rsidP="00C9769F">
      <w:pPr>
        <w:jc w:val="both"/>
      </w:pPr>
    </w:p>
    <w:p w:rsidR="00C9769F" w:rsidRPr="00D50E91" w:rsidRDefault="00C9769F" w:rsidP="00C9769F">
      <w:pPr>
        <w:keepNext/>
        <w:numPr>
          <w:ilvl w:val="0"/>
          <w:numId w:val="2"/>
        </w:numPr>
        <w:spacing w:line="276" w:lineRule="auto"/>
        <w:ind w:left="0" w:firstLine="0"/>
        <w:jc w:val="center"/>
        <w:outlineLvl w:val="1"/>
        <w:rPr>
          <w:b/>
          <w:bCs/>
        </w:rPr>
      </w:pPr>
      <w:r w:rsidRPr="00D50E91">
        <w:rPr>
          <w:b/>
          <w:bCs/>
        </w:rPr>
        <w:t>§</w:t>
      </w:r>
    </w:p>
    <w:p w:rsidR="00C9769F" w:rsidRPr="00D50E91" w:rsidRDefault="00C9769F" w:rsidP="00C9769F">
      <w:pPr>
        <w:jc w:val="both"/>
      </w:pPr>
    </w:p>
    <w:p w:rsidR="00C9769F" w:rsidRPr="00D50E91" w:rsidRDefault="00C9769F" w:rsidP="00C9769F">
      <w:pPr>
        <w:jc w:val="both"/>
      </w:pPr>
      <w:r w:rsidRPr="00D50E91">
        <w:t>Az R. 83. §</w:t>
      </w:r>
      <w:r w:rsidR="003528A8">
        <w:t>-</w:t>
      </w:r>
      <w:r w:rsidRPr="00D50E91">
        <w:t>a helyébe a következő rendelkezés lép:</w:t>
      </w:r>
    </w:p>
    <w:p w:rsidR="00C9769F" w:rsidRPr="00D50E91" w:rsidRDefault="00C9769F" w:rsidP="00C9769F">
      <w:pPr>
        <w:jc w:val="both"/>
      </w:pPr>
    </w:p>
    <w:p w:rsidR="00C9769F" w:rsidRPr="00D50E91" w:rsidRDefault="00C9769F" w:rsidP="00C9769F">
      <w:pPr>
        <w:jc w:val="both"/>
      </w:pPr>
      <w:r w:rsidRPr="00D50E91">
        <w:t xml:space="preserve">„83. § A tűzoltó egységek számára a roncsolásmentes bejutás lehetőségét biztosítani kell az alábbi épületekbe: </w:t>
      </w:r>
    </w:p>
    <w:p w:rsidR="00C9769F" w:rsidRPr="00D50E91" w:rsidRDefault="00C9769F" w:rsidP="00C9769F">
      <w:pPr>
        <w:jc w:val="both"/>
      </w:pPr>
      <w:r w:rsidRPr="00D50E91">
        <w:t>a) a 10</w:t>
      </w:r>
      <w:r w:rsidR="001F2C83" w:rsidRPr="00D50E91">
        <w:t> </w:t>
      </w:r>
      <w:r w:rsidRPr="00D50E91">
        <w:t>000</w:t>
      </w:r>
      <w:r w:rsidR="001F2C83" w:rsidRPr="00D50E91">
        <w:t xml:space="preserve"> </w:t>
      </w:r>
      <w:r w:rsidRPr="00D50E91">
        <w:t>m</w:t>
      </w:r>
      <w:r w:rsidRPr="00D50E91">
        <w:rPr>
          <w:vertAlign w:val="superscript"/>
        </w:rPr>
        <w:t>2</w:t>
      </w:r>
      <w:r w:rsidR="003528A8">
        <w:t>-</w:t>
      </w:r>
      <w:r w:rsidRPr="00D50E91">
        <w:t>nél nagyobb alapterületű ipari, mezőgazdasági, termelő, tároló és feldolgozó épület esetében,</w:t>
      </w:r>
    </w:p>
    <w:p w:rsidR="00C9769F" w:rsidRPr="00D50E91" w:rsidRDefault="00C9769F" w:rsidP="00C9769F">
      <w:pPr>
        <w:jc w:val="both"/>
      </w:pPr>
      <w:r w:rsidRPr="00D50E91">
        <w:t>b) bármely rendeltetésű, 30 méter feletti szintmagasságú épületben,</w:t>
      </w:r>
    </w:p>
    <w:p w:rsidR="00C9769F" w:rsidRPr="00D50E91" w:rsidRDefault="00C9769F" w:rsidP="00C9769F">
      <w:pPr>
        <w:jc w:val="both"/>
      </w:pPr>
      <w:r w:rsidRPr="00D50E91">
        <w:t>c) a 6</w:t>
      </w:r>
      <w:r w:rsidR="001F2C83" w:rsidRPr="00D50E91">
        <w:t> </w:t>
      </w:r>
      <w:r w:rsidRPr="00D50E91">
        <w:t>000 m</w:t>
      </w:r>
      <w:r w:rsidRPr="00D50E91">
        <w:rPr>
          <w:vertAlign w:val="superscript"/>
        </w:rPr>
        <w:t>2</w:t>
      </w:r>
      <w:r w:rsidR="003528A8">
        <w:t>-</w:t>
      </w:r>
      <w:r w:rsidRPr="00D50E91">
        <w:t>nél nagyobb alapterületű közösségi épületekben,</w:t>
      </w:r>
    </w:p>
    <w:p w:rsidR="00C9769F" w:rsidRPr="00D50E91" w:rsidRDefault="00C9769F" w:rsidP="00C9769F">
      <w:pPr>
        <w:jc w:val="both"/>
      </w:pPr>
      <w:r w:rsidRPr="00D50E91">
        <w:t>d) a 10</w:t>
      </w:r>
      <w:r w:rsidR="001F2C83" w:rsidRPr="00D50E91">
        <w:t> </w:t>
      </w:r>
      <w:r w:rsidRPr="00D50E91">
        <w:t>000</w:t>
      </w:r>
      <w:r w:rsidR="001F2C83" w:rsidRPr="00D50E91">
        <w:t xml:space="preserve"> </w:t>
      </w:r>
      <w:r w:rsidRPr="00D50E91">
        <w:t>m</w:t>
      </w:r>
      <w:r w:rsidRPr="00D50E91">
        <w:rPr>
          <w:vertAlign w:val="superscript"/>
        </w:rPr>
        <w:t>2</w:t>
      </w:r>
      <w:r w:rsidR="003528A8">
        <w:t>-</w:t>
      </w:r>
      <w:r w:rsidRPr="00D50E91">
        <w:t>nél nagyobb alapterületű kereskedelmi épületekben, logisztikai központokban,</w:t>
      </w:r>
    </w:p>
    <w:p w:rsidR="00C9769F" w:rsidRPr="00D50E91" w:rsidRDefault="00C9769F" w:rsidP="00C9769F">
      <w:pPr>
        <w:jc w:val="both"/>
      </w:pPr>
      <w:r w:rsidRPr="00D50E91">
        <w:t>e) a 10</w:t>
      </w:r>
      <w:r w:rsidR="001F2C83" w:rsidRPr="00D50E91">
        <w:t> </w:t>
      </w:r>
      <w:r w:rsidRPr="00D50E91">
        <w:t>000</w:t>
      </w:r>
      <w:r w:rsidR="001F2C83" w:rsidRPr="00D50E91">
        <w:t xml:space="preserve"> </w:t>
      </w:r>
      <w:r w:rsidRPr="00D50E91">
        <w:t>m</w:t>
      </w:r>
      <w:r w:rsidRPr="00D50E91">
        <w:rPr>
          <w:vertAlign w:val="superscript"/>
        </w:rPr>
        <w:t>2</w:t>
      </w:r>
      <w:r w:rsidR="003528A8">
        <w:t>-</w:t>
      </w:r>
      <w:r w:rsidRPr="00D50E91">
        <w:t>nél nagyobb alapterületű műemlék és nemzeti értékek elhelyezésére szolgáló épületekben, valamint</w:t>
      </w:r>
    </w:p>
    <w:p w:rsidR="00C9769F" w:rsidRPr="00D50E91" w:rsidRDefault="00C9769F" w:rsidP="00C9769F">
      <w:pPr>
        <w:jc w:val="both"/>
      </w:pPr>
      <w:r w:rsidRPr="00D50E91">
        <w:t>f) ott, ahol a tűzvédelmi hatóság előírja</w:t>
      </w:r>
      <w:r w:rsidR="001F2C83" w:rsidRPr="00D50E91">
        <w:t>,</w:t>
      </w:r>
    </w:p>
    <w:p w:rsidR="00C9769F" w:rsidRPr="00D50E91" w:rsidRDefault="00C9769F" w:rsidP="00C9769F">
      <w:pPr>
        <w:jc w:val="both"/>
      </w:pPr>
      <w:r w:rsidRPr="00D50E91">
        <w:t>ha az épület területén beépített tűzjelző berendezés létesül.”</w:t>
      </w:r>
    </w:p>
    <w:p w:rsidR="00C9769F" w:rsidRPr="00D50E91" w:rsidRDefault="00C9769F" w:rsidP="00C9769F">
      <w:pPr>
        <w:jc w:val="both"/>
      </w:pPr>
    </w:p>
    <w:p w:rsidR="00C9769F" w:rsidRPr="00D50E91" w:rsidRDefault="00C9769F" w:rsidP="00C9769F">
      <w:pPr>
        <w:keepNext/>
        <w:numPr>
          <w:ilvl w:val="0"/>
          <w:numId w:val="2"/>
        </w:numPr>
        <w:spacing w:line="276" w:lineRule="auto"/>
        <w:ind w:left="0" w:firstLine="0"/>
        <w:jc w:val="center"/>
        <w:outlineLvl w:val="1"/>
        <w:rPr>
          <w:b/>
          <w:bCs/>
        </w:rPr>
      </w:pPr>
      <w:r w:rsidRPr="00D50E91">
        <w:rPr>
          <w:b/>
          <w:bCs/>
        </w:rPr>
        <w:t>§</w:t>
      </w:r>
    </w:p>
    <w:p w:rsidR="00C9769F" w:rsidRPr="00D50E91" w:rsidRDefault="00C9769F" w:rsidP="00C9769F">
      <w:pPr>
        <w:jc w:val="both"/>
      </w:pPr>
    </w:p>
    <w:p w:rsidR="00C9769F" w:rsidRPr="00D50E91" w:rsidRDefault="00C9769F" w:rsidP="00C9769F">
      <w:pPr>
        <w:jc w:val="both"/>
      </w:pPr>
      <w:r w:rsidRPr="00D50E91">
        <w:t>Az R. 85. § (1) bekezdése helyébe a következő rendelkezés lép:</w:t>
      </w:r>
    </w:p>
    <w:p w:rsidR="00C9769F" w:rsidRPr="00D50E91" w:rsidRDefault="00C9769F" w:rsidP="00C9769F">
      <w:pPr>
        <w:jc w:val="both"/>
      </w:pPr>
    </w:p>
    <w:p w:rsidR="00C9769F" w:rsidRPr="00D50E91" w:rsidRDefault="00C9769F" w:rsidP="00C9769F">
      <w:pPr>
        <w:jc w:val="both"/>
      </w:pPr>
      <w:r w:rsidRPr="00D50E91">
        <w:t>„(1) Jogszabály eltérő rendelkezése hiányában az alábbi építményekben biztosítani kell a kárelhárítás során együttműködő szervek rádióforgalmazási feltételeit, melynek megfelelőségét az építmény használatbavételi eljárását megelőzően vizsgálni kell:</w:t>
      </w:r>
    </w:p>
    <w:p w:rsidR="00C9769F" w:rsidRPr="00D50E91" w:rsidRDefault="00C9769F" w:rsidP="00C9769F">
      <w:pPr>
        <w:jc w:val="both"/>
      </w:pPr>
      <w:r w:rsidRPr="00D50E91">
        <w:t>a) amelyekhez tűzoltási felvonulási területet kell biztosítani,</w:t>
      </w:r>
    </w:p>
    <w:p w:rsidR="00C9769F" w:rsidRPr="00D50E91" w:rsidRDefault="00C9769F" w:rsidP="00C9769F">
      <w:pPr>
        <w:jc w:val="both"/>
      </w:pPr>
      <w:r w:rsidRPr="00D50E91">
        <w:lastRenderedPageBreak/>
        <w:t>b) amely legalább két talajszint alatti szinttel rendelkezik és a talajszint alatti helyiségeinek összesített nettó alapterülete 1000 m</w:t>
      </w:r>
      <w:r w:rsidRPr="00D50E91">
        <w:rPr>
          <w:vertAlign w:val="superscript"/>
        </w:rPr>
        <w:t>2</w:t>
      </w:r>
      <w:r w:rsidRPr="00D50E91">
        <w:t xml:space="preserve"> feletti,</w:t>
      </w:r>
    </w:p>
    <w:p w:rsidR="00C9769F" w:rsidRPr="00D50E91" w:rsidRDefault="00C9769F" w:rsidP="00C9769F">
      <w:pPr>
        <w:jc w:val="both"/>
      </w:pPr>
      <w:r w:rsidRPr="00D50E91">
        <w:t>c) amelyből a biztonságos térbe jutás a kiürítés első szakaszában nem biztosított.”</w:t>
      </w:r>
    </w:p>
    <w:p w:rsidR="00C9769F" w:rsidRPr="00D50E91" w:rsidRDefault="00C9769F" w:rsidP="00C9769F">
      <w:pPr>
        <w:jc w:val="both"/>
      </w:pPr>
    </w:p>
    <w:p w:rsidR="00C9769F" w:rsidRPr="00D50E91" w:rsidRDefault="00C9769F" w:rsidP="00C9769F">
      <w:pPr>
        <w:keepNext/>
        <w:numPr>
          <w:ilvl w:val="0"/>
          <w:numId w:val="2"/>
        </w:numPr>
        <w:spacing w:line="276" w:lineRule="auto"/>
        <w:ind w:left="0" w:firstLine="0"/>
        <w:jc w:val="center"/>
        <w:outlineLvl w:val="1"/>
        <w:rPr>
          <w:b/>
          <w:bCs/>
        </w:rPr>
      </w:pPr>
      <w:r w:rsidRPr="00D50E91">
        <w:rPr>
          <w:b/>
          <w:bCs/>
        </w:rPr>
        <w:t>§</w:t>
      </w:r>
    </w:p>
    <w:p w:rsidR="00C9769F" w:rsidRPr="00D50E91" w:rsidRDefault="00C9769F" w:rsidP="00C9769F">
      <w:pPr>
        <w:jc w:val="both"/>
      </w:pPr>
    </w:p>
    <w:p w:rsidR="00C9769F" w:rsidRPr="00D50E91" w:rsidRDefault="00C9769F" w:rsidP="00C9769F">
      <w:pPr>
        <w:jc w:val="both"/>
      </w:pPr>
      <w:r w:rsidRPr="00D50E91">
        <w:t>Az R. 87. § (1)</w:t>
      </w:r>
      <w:r w:rsidR="003528A8">
        <w:t>-</w:t>
      </w:r>
      <w:r w:rsidRPr="00D50E91">
        <w:t>(3) bekezdése helyébe a következő rendelkezések lépnek:</w:t>
      </w:r>
    </w:p>
    <w:p w:rsidR="00C9769F" w:rsidRPr="00D50E91" w:rsidRDefault="00C9769F" w:rsidP="00C9769F">
      <w:pPr>
        <w:jc w:val="both"/>
      </w:pPr>
    </w:p>
    <w:p w:rsidR="00C9769F" w:rsidRPr="00D50E91" w:rsidRDefault="00C9769F" w:rsidP="00C9769F">
      <w:pPr>
        <w:jc w:val="both"/>
      </w:pPr>
      <w:r w:rsidRPr="00D50E91">
        <w:t>„(1) A napelem modulok közelében, a DC oldalon villamos távműködtetésű és kézi tűzeseti lekapcsolási lehetőséget kell kialakítani.</w:t>
      </w:r>
    </w:p>
    <w:p w:rsidR="00C9769F" w:rsidRPr="00D50E91" w:rsidRDefault="00C9769F" w:rsidP="00C9769F">
      <w:pPr>
        <w:jc w:val="both"/>
      </w:pPr>
    </w:p>
    <w:p w:rsidR="00C9769F" w:rsidRPr="00D50E91" w:rsidRDefault="00C9769F" w:rsidP="00C9769F">
      <w:pPr>
        <w:jc w:val="both"/>
      </w:pPr>
      <w:r w:rsidRPr="00D50E91">
        <w:t>(2) A távkioldó egység kapcsolóját az építmény villamos tűzeseti főkapcsolója közvetlen közelében kell elhelyezni, vagy a tűzeseti főkapcsolónak kell működtetnie azt.</w:t>
      </w:r>
    </w:p>
    <w:p w:rsidR="00C9769F" w:rsidRPr="00D50E91" w:rsidRDefault="00C9769F" w:rsidP="00C9769F">
      <w:pPr>
        <w:jc w:val="both"/>
      </w:pPr>
    </w:p>
    <w:p w:rsidR="00C9769F" w:rsidRPr="00D50E91" w:rsidRDefault="00C9769F" w:rsidP="00C9769F">
      <w:pPr>
        <w:jc w:val="both"/>
      </w:pPr>
      <w:r w:rsidRPr="00D50E91">
        <w:t>(3) A kapcsolónál a rendeltetésére utaló feliratot, piktogramot kell elhelyezni.”</w:t>
      </w:r>
    </w:p>
    <w:p w:rsidR="00C9769F" w:rsidRPr="00D50E91" w:rsidRDefault="00C9769F" w:rsidP="00C9769F">
      <w:pPr>
        <w:jc w:val="both"/>
      </w:pPr>
    </w:p>
    <w:p w:rsidR="00C9769F" w:rsidRPr="00D50E91" w:rsidRDefault="00C9769F" w:rsidP="00C9769F">
      <w:pPr>
        <w:keepNext/>
        <w:numPr>
          <w:ilvl w:val="0"/>
          <w:numId w:val="2"/>
        </w:numPr>
        <w:spacing w:line="276" w:lineRule="auto"/>
        <w:ind w:left="0" w:firstLine="0"/>
        <w:jc w:val="center"/>
        <w:outlineLvl w:val="1"/>
        <w:rPr>
          <w:b/>
          <w:bCs/>
        </w:rPr>
      </w:pPr>
      <w:r w:rsidRPr="00D50E91">
        <w:rPr>
          <w:b/>
          <w:bCs/>
        </w:rPr>
        <w:t>§</w:t>
      </w:r>
    </w:p>
    <w:p w:rsidR="00C9769F" w:rsidRPr="00D50E91" w:rsidRDefault="00C9769F" w:rsidP="00C9769F">
      <w:pPr>
        <w:jc w:val="both"/>
      </w:pPr>
    </w:p>
    <w:p w:rsidR="00C9769F" w:rsidRPr="00D50E91" w:rsidRDefault="00C9769F" w:rsidP="00C9769F">
      <w:pPr>
        <w:jc w:val="both"/>
      </w:pPr>
      <w:r w:rsidRPr="00D50E91">
        <w:t>Az R. 88. §</w:t>
      </w:r>
      <w:r w:rsidR="003528A8">
        <w:t>-</w:t>
      </w:r>
      <w:r w:rsidRPr="00D50E91">
        <w:t>a helyébe a következő rendelkezés lép:</w:t>
      </w:r>
    </w:p>
    <w:p w:rsidR="00C9769F" w:rsidRPr="00D50E91" w:rsidRDefault="00C9769F" w:rsidP="00C9769F">
      <w:pPr>
        <w:jc w:val="both"/>
      </w:pPr>
    </w:p>
    <w:p w:rsidR="00C9769F" w:rsidRPr="00D50E91" w:rsidRDefault="00C9769F" w:rsidP="00C9769F">
      <w:pPr>
        <w:jc w:val="both"/>
      </w:pPr>
      <w:r w:rsidRPr="00D50E91">
        <w:t>„88. § (1) Hő</w:t>
      </w:r>
      <w:r w:rsidR="003528A8">
        <w:t>-</w:t>
      </w:r>
      <w:r w:rsidRPr="00D50E91">
        <w:t xml:space="preserve"> és füstelvezetést és az ehhez szükséges mértékű légpótlást kell létesíteni</w:t>
      </w:r>
    </w:p>
    <w:p w:rsidR="00C9769F" w:rsidRPr="00D50E91" w:rsidRDefault="00C9769F" w:rsidP="00C9769F">
      <w:pPr>
        <w:jc w:val="both"/>
      </w:pPr>
      <w:r w:rsidRPr="00D50E91">
        <w:t>a) 1</w:t>
      </w:r>
      <w:r w:rsidR="001F2C83" w:rsidRPr="00D50E91">
        <w:t> </w:t>
      </w:r>
      <w:r w:rsidRPr="00D50E91">
        <w:t>200</w:t>
      </w:r>
      <w:r w:rsidR="001F2C83" w:rsidRPr="00D50E91">
        <w:t xml:space="preserve"> </w:t>
      </w:r>
      <w:r w:rsidRPr="00D50E91">
        <w:t>m</w:t>
      </w:r>
      <w:r w:rsidRPr="00D50E91">
        <w:rPr>
          <w:vertAlign w:val="superscript"/>
        </w:rPr>
        <w:t>2</w:t>
      </w:r>
      <w:r w:rsidR="003528A8">
        <w:t>-</w:t>
      </w:r>
      <w:r w:rsidRPr="00D50E91">
        <w:t>nél nagyobb alapterületű helyiségben,</w:t>
      </w:r>
    </w:p>
    <w:p w:rsidR="00C9769F" w:rsidRPr="00D50E91" w:rsidRDefault="00C9769F" w:rsidP="00C9769F">
      <w:pPr>
        <w:jc w:val="both"/>
      </w:pPr>
      <w:r w:rsidRPr="00D50E91">
        <w:t>b) tömegtartózkodásra szolgáló helyiségben,</w:t>
      </w:r>
    </w:p>
    <w:p w:rsidR="00C9769F" w:rsidRPr="00D50E91" w:rsidRDefault="00C9769F" w:rsidP="00C9769F">
      <w:pPr>
        <w:jc w:val="both"/>
      </w:pPr>
      <w:r w:rsidRPr="00D50E91">
        <w:t>c) menekülési útvonalon a füstmentes lépcsőház, a füstmentes előtér és a tűzgátló előtér kivételével,</w:t>
      </w:r>
    </w:p>
    <w:p w:rsidR="00C9769F" w:rsidRPr="00D50E91" w:rsidRDefault="00C9769F" w:rsidP="00C9769F">
      <w:pPr>
        <w:jc w:val="both"/>
      </w:pPr>
      <w:r w:rsidRPr="00D50E91">
        <w:t>d) 100 m</w:t>
      </w:r>
      <w:r w:rsidRPr="00D50E91">
        <w:rPr>
          <w:vertAlign w:val="superscript"/>
        </w:rPr>
        <w:t>2</w:t>
      </w:r>
      <w:r w:rsidR="003528A8">
        <w:t>-</w:t>
      </w:r>
      <w:r w:rsidRPr="00D50E91">
        <w:t>nél nagyobb alapterületű pinceszinti helyiségekben,</w:t>
      </w:r>
    </w:p>
    <w:p w:rsidR="00C9769F" w:rsidRPr="00D50E91" w:rsidRDefault="00C9769F" w:rsidP="00C9769F">
      <w:pPr>
        <w:jc w:val="both"/>
      </w:pPr>
      <w:r w:rsidRPr="00D50E91">
        <w:t>e) fedett átriumokban,</w:t>
      </w:r>
    </w:p>
    <w:p w:rsidR="00C9769F" w:rsidRPr="00D50E91" w:rsidRDefault="00C9769F" w:rsidP="00C9769F">
      <w:pPr>
        <w:jc w:val="both"/>
      </w:pPr>
      <w:r w:rsidRPr="00D50E91">
        <w:t>f) ott, ahol a rendeltetés alapján e rendelet előírja,</w:t>
      </w:r>
    </w:p>
    <w:p w:rsidR="00C9769F" w:rsidRPr="00D50E91" w:rsidRDefault="00C9769F" w:rsidP="00C9769F">
      <w:pPr>
        <w:jc w:val="both"/>
      </w:pPr>
      <w:r w:rsidRPr="00D50E91">
        <w:t>g) speciális építmény esetén a XII. fejezet alapján vagy</w:t>
      </w:r>
    </w:p>
    <w:p w:rsidR="00C9769F" w:rsidRPr="00D50E91" w:rsidRDefault="00C9769F" w:rsidP="00C9769F">
      <w:pPr>
        <w:jc w:val="both"/>
      </w:pPr>
      <w:r w:rsidRPr="00D50E91">
        <w:t>h) ott, ahol a rendeltetés és a füstfejlődés jellemzői alapján, a kiürítés és a tűzoltó beavatkozás feltételeinek biztosítása céljából a tűzvédelmi hatóság előírja.</w:t>
      </w:r>
    </w:p>
    <w:p w:rsidR="00C9769F" w:rsidRPr="00D50E91" w:rsidRDefault="00C9769F" w:rsidP="00C9769F">
      <w:pPr>
        <w:jc w:val="both"/>
      </w:pPr>
    </w:p>
    <w:p w:rsidR="00C9769F" w:rsidRPr="00D50E91" w:rsidRDefault="00C9769F" w:rsidP="00C9769F">
      <w:pPr>
        <w:jc w:val="both"/>
      </w:pPr>
      <w:r w:rsidRPr="00D50E91">
        <w:t>(2) Az (1) bekezdés a)</w:t>
      </w:r>
      <w:r w:rsidR="003528A8">
        <w:t>-</w:t>
      </w:r>
      <w:r w:rsidRPr="00D50E91">
        <w:t>g) pontjaitól eltérően nem kötelező hő</w:t>
      </w:r>
      <w:r w:rsidR="003528A8">
        <w:t>-</w:t>
      </w:r>
      <w:r w:rsidRPr="00D50E91">
        <w:t xml:space="preserve"> és füstelvezetést létesíteni</w:t>
      </w:r>
    </w:p>
    <w:p w:rsidR="00C9769F" w:rsidRPr="00D50E91" w:rsidRDefault="00C9769F" w:rsidP="00C9769F">
      <w:pPr>
        <w:jc w:val="both"/>
      </w:pPr>
      <w:r w:rsidRPr="00D50E91">
        <w:t>a) a legfeljebb 500 m</w:t>
      </w:r>
      <w:r w:rsidRPr="00D50E91">
        <w:rPr>
          <w:vertAlign w:val="superscript"/>
        </w:rPr>
        <w:t>2</w:t>
      </w:r>
      <w:r w:rsidRPr="00D50E91">
        <w:t xml:space="preserve"> alapterületű és legalább EI</w:t>
      </w:r>
      <w:r w:rsidRPr="00D50E91">
        <w:rPr>
          <w:vertAlign w:val="subscript"/>
        </w:rPr>
        <w:t>2</w:t>
      </w:r>
      <w:r w:rsidRPr="00D50E91">
        <w:t xml:space="preserve"> 15 C minősítésű bejárati ajtóval rendelkező, pinceszinti gépészeti helyiségben vagy helyiségcsoportban, </w:t>
      </w:r>
    </w:p>
    <w:p w:rsidR="00C9769F" w:rsidRPr="00D50E91" w:rsidRDefault="00C9769F" w:rsidP="00C9769F">
      <w:pPr>
        <w:jc w:val="both"/>
      </w:pPr>
      <w:r w:rsidRPr="00D50E91">
        <w:t>b) a legfeljebb 500 m</w:t>
      </w:r>
      <w:r w:rsidRPr="00D50E91">
        <w:rPr>
          <w:vertAlign w:val="superscript"/>
        </w:rPr>
        <w:t>2</w:t>
      </w:r>
      <w:r w:rsidRPr="00D50E91">
        <w:t xml:space="preserve"> alapterületű, nem közösségi rendeltetésű pinceszinti helyiségben, amelyben jellemzően nem tűzveszélyes osztályba tartozó anyagot tárolnak, </w:t>
      </w:r>
    </w:p>
    <w:p w:rsidR="00C9769F" w:rsidRPr="00D50E91" w:rsidRDefault="00C9769F" w:rsidP="00C9769F">
      <w:pPr>
        <w:jc w:val="both"/>
      </w:pPr>
      <w:r w:rsidRPr="00D50E91">
        <w:t>c) a legfeljebb 1</w:t>
      </w:r>
      <w:r w:rsidR="001F2C83" w:rsidRPr="00D50E91">
        <w:t> </w:t>
      </w:r>
      <w:r w:rsidRPr="00D50E91">
        <w:t>200</w:t>
      </w:r>
      <w:r w:rsidR="001F2C83" w:rsidRPr="00D50E91">
        <w:t xml:space="preserve"> </w:t>
      </w:r>
      <w:r w:rsidRPr="00D50E91">
        <w:t>m</w:t>
      </w:r>
      <w:r w:rsidRPr="00D50E91">
        <w:rPr>
          <w:vertAlign w:val="superscript"/>
        </w:rPr>
        <w:t>2</w:t>
      </w:r>
      <w:r w:rsidRPr="00D50E91">
        <w:t xml:space="preserve"> alapterületű, nem tömegtartózkodásra szolgáló pinceszinti helyiségben, ha a belmagasság felső harmadában az alapterület legalább 5%</w:t>
      </w:r>
      <w:r w:rsidR="003528A8">
        <w:t>-</w:t>
      </w:r>
      <w:r w:rsidRPr="00D50E91">
        <w:t>ának megfelelő szabad nyílásméretű, betörhető üvegezésű, padlószintről nyitható homlokzati nyílászáróval rendelkezik és a helyiség feletti födém síkja a rendezett terepcsatlakozás felett helyezkedik el,</w:t>
      </w:r>
    </w:p>
    <w:p w:rsidR="00C9769F" w:rsidRPr="00D50E91" w:rsidRDefault="00C9769F" w:rsidP="00C9769F">
      <w:pPr>
        <w:jc w:val="both"/>
      </w:pPr>
      <w:r w:rsidRPr="00D50E91">
        <w:t xml:space="preserve">d) az olyan </w:t>
      </w:r>
      <w:r w:rsidR="003528A8">
        <w:t>-</w:t>
      </w:r>
      <w:r w:rsidRPr="00D50E91">
        <w:t xml:space="preserve"> beépített tűzoltó berendezéssel nem védett – ipari, mezőgazdasági rendeltetésű vagy raktárhelyiségben, amelynek tetőfedése vagy a helyiséget felülről lezáró egyéb szerkezete a tűzzel szemben számottevő ellenállással nem rendelkezik,</w:t>
      </w:r>
    </w:p>
    <w:p w:rsidR="00C9769F" w:rsidRPr="00D50E91" w:rsidRDefault="00C9769F" w:rsidP="00C9769F">
      <w:pPr>
        <w:jc w:val="both"/>
      </w:pPr>
      <w:r w:rsidRPr="00D50E91">
        <w:t>e) a füstfejlődés szempontjából alacsony kockázatú térben.</w:t>
      </w:r>
    </w:p>
    <w:p w:rsidR="00C9769F" w:rsidRPr="00D50E91" w:rsidRDefault="00C9769F" w:rsidP="00C9769F">
      <w:pPr>
        <w:jc w:val="both"/>
      </w:pPr>
    </w:p>
    <w:p w:rsidR="00C9769F" w:rsidRPr="00D50E91" w:rsidRDefault="00C9769F" w:rsidP="00C9769F">
      <w:pPr>
        <w:jc w:val="both"/>
      </w:pPr>
      <w:r w:rsidRPr="00D50E91">
        <w:t>(3) Füstmentesítést kell létesíteni</w:t>
      </w:r>
    </w:p>
    <w:p w:rsidR="00C9769F" w:rsidRPr="00D50E91" w:rsidRDefault="00C9769F" w:rsidP="00C9769F">
      <w:pPr>
        <w:jc w:val="both"/>
      </w:pPr>
      <w:r w:rsidRPr="00D50E91">
        <w:t>a) menekülési útvonalat képező lépcsőházban, ha e rendelet előírja,</w:t>
      </w:r>
    </w:p>
    <w:p w:rsidR="00C9769F" w:rsidRPr="00D50E91" w:rsidRDefault="00C9769F" w:rsidP="00C9769F">
      <w:pPr>
        <w:jc w:val="both"/>
      </w:pPr>
      <w:r w:rsidRPr="00D50E91">
        <w:t>b) ahol a tűzvédelmi hatóság a rendeltetés és a füstfejlődés jellemzői alapján, a kiürítés és a tűzoltó beavatkozás feltételeinek biztosítása céljából előírja, vagy</w:t>
      </w:r>
    </w:p>
    <w:p w:rsidR="00C9769F" w:rsidRPr="00D50E91" w:rsidRDefault="00C9769F" w:rsidP="00C9769F">
      <w:pPr>
        <w:jc w:val="both"/>
      </w:pPr>
      <w:r w:rsidRPr="00D50E91">
        <w:t>c) ahol e rendelet a rendeltetés alapján vagy a kiürítés biztosítása céljából előírja.</w:t>
      </w:r>
    </w:p>
    <w:p w:rsidR="00C9769F" w:rsidRPr="00D50E91" w:rsidRDefault="00C9769F" w:rsidP="00C9769F">
      <w:pPr>
        <w:jc w:val="both"/>
      </w:pPr>
    </w:p>
    <w:p w:rsidR="00C9769F" w:rsidRPr="00D50E91" w:rsidRDefault="00C9769F" w:rsidP="00C9769F">
      <w:pPr>
        <w:jc w:val="both"/>
      </w:pPr>
      <w:r w:rsidRPr="00D50E91">
        <w:t>(4) A több pinceszintet kiszolgáló, menekülési útvonalat képező lépcsőházba a füst bejutását a csatlakozó pinceszinti helyiségek irányából kell meggátolni.</w:t>
      </w:r>
    </w:p>
    <w:p w:rsidR="00C9769F" w:rsidRPr="00D50E91" w:rsidRDefault="00C9769F" w:rsidP="00C9769F">
      <w:pPr>
        <w:jc w:val="both"/>
      </w:pPr>
    </w:p>
    <w:p w:rsidR="00C9769F" w:rsidRPr="00D50E91" w:rsidRDefault="00C9769F" w:rsidP="00C9769F">
      <w:pPr>
        <w:jc w:val="both"/>
      </w:pPr>
      <w:r w:rsidRPr="00D50E91">
        <w:t>(5) Nem szabad hő</w:t>
      </w:r>
      <w:r w:rsidR="003528A8">
        <w:t>-</w:t>
      </w:r>
      <w:r w:rsidRPr="00D50E91">
        <w:t xml:space="preserve"> és füstelvezetést kialakítani a térfeltöltés elvén működő, teljes elárasztásos beépített gázzal vagy habbal oltó berendezéssel védett helyiségben.</w:t>
      </w:r>
    </w:p>
    <w:p w:rsidR="00C9769F" w:rsidRPr="00D50E91" w:rsidRDefault="00C9769F" w:rsidP="00C9769F">
      <w:pPr>
        <w:jc w:val="both"/>
      </w:pPr>
    </w:p>
    <w:p w:rsidR="00C9769F" w:rsidRPr="00D50E91" w:rsidRDefault="00C9769F" w:rsidP="00C9769F">
      <w:pPr>
        <w:keepNext/>
        <w:numPr>
          <w:ilvl w:val="0"/>
          <w:numId w:val="2"/>
        </w:numPr>
        <w:spacing w:line="276" w:lineRule="auto"/>
        <w:ind w:left="0" w:firstLine="0"/>
        <w:jc w:val="center"/>
        <w:outlineLvl w:val="1"/>
        <w:rPr>
          <w:b/>
          <w:bCs/>
        </w:rPr>
      </w:pPr>
      <w:r w:rsidRPr="00D50E91">
        <w:rPr>
          <w:b/>
          <w:bCs/>
        </w:rPr>
        <w:t>§</w:t>
      </w:r>
    </w:p>
    <w:p w:rsidR="00C9769F" w:rsidRPr="00D50E91" w:rsidRDefault="00C9769F" w:rsidP="00C9769F">
      <w:pPr>
        <w:jc w:val="both"/>
      </w:pPr>
    </w:p>
    <w:p w:rsidR="00C9769F" w:rsidRPr="00D50E91" w:rsidRDefault="00C9769F" w:rsidP="00C9769F">
      <w:pPr>
        <w:jc w:val="both"/>
      </w:pPr>
      <w:r w:rsidRPr="00D50E91">
        <w:t>(1) Az R. 89. § (1) bekezdése helyébe a következő rendelkezés lép:</w:t>
      </w:r>
    </w:p>
    <w:p w:rsidR="00C9769F" w:rsidRPr="00D50E91" w:rsidRDefault="00C9769F" w:rsidP="00C9769F">
      <w:pPr>
        <w:jc w:val="both"/>
      </w:pPr>
    </w:p>
    <w:p w:rsidR="00C9769F" w:rsidRPr="00D50E91" w:rsidRDefault="00C9769F" w:rsidP="00C9769F">
      <w:pPr>
        <w:jc w:val="both"/>
      </w:pPr>
      <w:r w:rsidRPr="00D50E91">
        <w:t>„(1) A hő</w:t>
      </w:r>
      <w:r w:rsidR="003528A8">
        <w:t>-</w:t>
      </w:r>
      <w:r w:rsidRPr="00D50E91">
        <w:t xml:space="preserve"> és füstelvezetés és a füstmentesítés kézi működtetését biztosítani kell</w:t>
      </w:r>
    </w:p>
    <w:p w:rsidR="00C9769F" w:rsidRPr="00D50E91" w:rsidRDefault="00C9769F" w:rsidP="00C9769F">
      <w:pPr>
        <w:jc w:val="both"/>
      </w:pPr>
      <w:r w:rsidRPr="00D50E91">
        <w:t>a) lépcsőház esetében szintenként, a menekülés valamennyi irányából észlelhető helyen,</w:t>
      </w:r>
    </w:p>
    <w:p w:rsidR="00C9769F" w:rsidRPr="00D50E91" w:rsidRDefault="00C9769F" w:rsidP="00C9769F">
      <w:pPr>
        <w:jc w:val="both"/>
      </w:pPr>
      <w:r w:rsidRPr="00D50E91">
        <w:t>b) egyéb esetben a tűzvédelmi tervező által meghatározott módon.”</w:t>
      </w:r>
    </w:p>
    <w:p w:rsidR="00C9769F" w:rsidRPr="00D50E91" w:rsidRDefault="00C9769F" w:rsidP="00C9769F">
      <w:pPr>
        <w:jc w:val="both"/>
      </w:pPr>
    </w:p>
    <w:p w:rsidR="00C9769F" w:rsidRPr="00D50E91" w:rsidRDefault="00C9769F" w:rsidP="00C9769F">
      <w:pPr>
        <w:jc w:val="both"/>
      </w:pPr>
      <w:r w:rsidRPr="00D50E91">
        <w:t>(2) Az R. 89. § (2) bekezdése a következő c) ponttal egészül ki:</w:t>
      </w:r>
    </w:p>
    <w:p w:rsidR="00C9769F" w:rsidRPr="00D50E91" w:rsidRDefault="00C9769F" w:rsidP="00C9769F">
      <w:pPr>
        <w:jc w:val="both"/>
      </w:pPr>
    </w:p>
    <w:p w:rsidR="00C9769F" w:rsidRPr="00D50E91" w:rsidRDefault="00C9769F" w:rsidP="00C9769F">
      <w:pPr>
        <w:jc w:val="both"/>
        <w:rPr>
          <w:i/>
        </w:rPr>
      </w:pPr>
      <w:r w:rsidRPr="00D50E91">
        <w:rPr>
          <w:i/>
        </w:rPr>
        <w:t>[A tűzvédelmi szakhatóság a kiürítés és a tűzoltói beavatkozás feltételeinek biztosítása céljából előírhatja]</w:t>
      </w:r>
    </w:p>
    <w:p w:rsidR="00C9769F" w:rsidRPr="00D50E91" w:rsidRDefault="00C9769F" w:rsidP="00C9769F">
      <w:pPr>
        <w:jc w:val="both"/>
      </w:pPr>
      <w:r w:rsidRPr="00D50E91">
        <w:t>„c) a hő</w:t>
      </w:r>
      <w:r w:rsidR="003528A8">
        <w:t>-</w:t>
      </w:r>
      <w:r w:rsidRPr="00D50E91">
        <w:t xml:space="preserve"> és füstelvezetés és a füstmentesítés kézi működtetéseinek telepítési helyét.”</w:t>
      </w:r>
    </w:p>
    <w:p w:rsidR="00C9769F" w:rsidRPr="00D50E91" w:rsidRDefault="00C9769F" w:rsidP="00C9769F">
      <w:pPr>
        <w:jc w:val="both"/>
      </w:pPr>
    </w:p>
    <w:p w:rsidR="00C9769F" w:rsidRPr="00D50E91" w:rsidRDefault="00C9769F" w:rsidP="00C9769F">
      <w:pPr>
        <w:keepNext/>
        <w:numPr>
          <w:ilvl w:val="0"/>
          <w:numId w:val="2"/>
        </w:numPr>
        <w:spacing w:line="276" w:lineRule="auto"/>
        <w:ind w:left="0" w:firstLine="0"/>
        <w:jc w:val="center"/>
        <w:outlineLvl w:val="1"/>
        <w:rPr>
          <w:b/>
          <w:bCs/>
        </w:rPr>
      </w:pPr>
      <w:r w:rsidRPr="00D50E91">
        <w:rPr>
          <w:b/>
          <w:bCs/>
        </w:rPr>
        <w:t>§</w:t>
      </w:r>
    </w:p>
    <w:p w:rsidR="00C9769F" w:rsidRPr="00D50E91" w:rsidRDefault="00C9769F" w:rsidP="00C9769F">
      <w:pPr>
        <w:jc w:val="both"/>
      </w:pPr>
    </w:p>
    <w:p w:rsidR="00C9769F" w:rsidRPr="00D50E91" w:rsidRDefault="00C9769F" w:rsidP="00C9769F">
      <w:pPr>
        <w:jc w:val="both"/>
      </w:pPr>
      <w:r w:rsidRPr="00D50E91">
        <w:t>(1) Az R. 90. § (1) bekezdése helyébe a következő rendelkezés lép:</w:t>
      </w:r>
    </w:p>
    <w:p w:rsidR="00C9769F" w:rsidRPr="00D50E91" w:rsidRDefault="00C9769F" w:rsidP="00C9769F">
      <w:pPr>
        <w:jc w:val="both"/>
      </w:pPr>
    </w:p>
    <w:p w:rsidR="00C9769F" w:rsidRPr="00D50E91" w:rsidRDefault="00C9769F" w:rsidP="00C9769F">
      <w:pPr>
        <w:jc w:val="both"/>
      </w:pPr>
      <w:r w:rsidRPr="00D50E91">
        <w:t>„(1) A hő</w:t>
      </w:r>
      <w:r w:rsidR="003528A8">
        <w:t>-</w:t>
      </w:r>
      <w:r w:rsidRPr="00D50E91">
        <w:t xml:space="preserve"> és füstelvezetés biztosítható</w:t>
      </w:r>
    </w:p>
    <w:p w:rsidR="00C9769F" w:rsidRPr="00D50E91" w:rsidRDefault="00C9769F" w:rsidP="00C9769F">
      <w:pPr>
        <w:jc w:val="both"/>
      </w:pPr>
      <w:r w:rsidRPr="00D50E91">
        <w:t>a) természetes úton hő</w:t>
      </w:r>
      <w:r w:rsidR="003528A8">
        <w:t>-</w:t>
      </w:r>
      <w:r w:rsidRPr="00D50E91">
        <w:t xml:space="preserve"> és füstelvezető szerkezettel vagy erre a célra figyelembe vett, állandóan nyitott szabad nyílással,</w:t>
      </w:r>
    </w:p>
    <w:p w:rsidR="00C9769F" w:rsidRPr="00D50E91" w:rsidRDefault="00C9769F" w:rsidP="00C9769F">
      <w:pPr>
        <w:jc w:val="both"/>
      </w:pPr>
      <w:r w:rsidRPr="00D50E91">
        <w:t>b) gépi úton hő</w:t>
      </w:r>
      <w:r w:rsidR="003528A8">
        <w:t>-</w:t>
      </w:r>
      <w:r w:rsidRPr="00D50E91">
        <w:t xml:space="preserve"> és füstelvezető berendezéssel vagy szellőzőberendezéssel a (2) bekezdés szerinti esetben, vagy</w:t>
      </w:r>
    </w:p>
    <w:p w:rsidR="00C9769F" w:rsidRPr="00D50E91" w:rsidRDefault="00C9769F" w:rsidP="00C9769F">
      <w:pPr>
        <w:jc w:val="both"/>
      </w:pPr>
      <w:r w:rsidRPr="00D50E91">
        <w:t>c) a természetes és a gépi megoldás kombinációjával.”</w:t>
      </w:r>
    </w:p>
    <w:p w:rsidR="00C9769F" w:rsidRPr="00D50E91" w:rsidRDefault="00C9769F" w:rsidP="00C9769F">
      <w:pPr>
        <w:jc w:val="both"/>
      </w:pPr>
    </w:p>
    <w:p w:rsidR="00C9769F" w:rsidRPr="00D50E91" w:rsidRDefault="000666EA" w:rsidP="00C9769F">
      <w:pPr>
        <w:jc w:val="both"/>
      </w:pPr>
      <w:r w:rsidRPr="00D50E91">
        <w:t xml:space="preserve">(2) </w:t>
      </w:r>
      <w:r w:rsidR="00C9769F" w:rsidRPr="00D50E91">
        <w:t>Az R. 90. §</w:t>
      </w:r>
      <w:r w:rsidR="003528A8">
        <w:t>-</w:t>
      </w:r>
      <w:r w:rsidR="00C9769F" w:rsidRPr="00D50E91">
        <w:t>a a következő (7) bekezdéssel egészül ki:</w:t>
      </w:r>
    </w:p>
    <w:p w:rsidR="00C9769F" w:rsidRPr="00D50E91" w:rsidRDefault="00C9769F" w:rsidP="00C9769F">
      <w:pPr>
        <w:jc w:val="both"/>
      </w:pPr>
    </w:p>
    <w:p w:rsidR="00C9769F" w:rsidRPr="00D50E91" w:rsidRDefault="00C9769F" w:rsidP="00C9769F">
      <w:pPr>
        <w:jc w:val="both"/>
      </w:pPr>
      <w:r w:rsidRPr="00D50E91">
        <w:t>„(7) A hő</w:t>
      </w:r>
      <w:r w:rsidR="003528A8">
        <w:t>-</w:t>
      </w:r>
      <w:r w:rsidRPr="00D50E91">
        <w:t xml:space="preserve"> és füstelvezetés és légpótlás tervezése során számítással is megállapítható a füstszakasz mérete, a füstelvezetéshez, légpótláshoz szükséges nyílások beépítési helye, a füstkötényfal szükségessége, belógásának mértéke.”</w:t>
      </w:r>
    </w:p>
    <w:p w:rsidR="00C9769F" w:rsidRPr="00D50E91" w:rsidRDefault="00C9769F" w:rsidP="00C9769F">
      <w:pPr>
        <w:jc w:val="both"/>
      </w:pPr>
    </w:p>
    <w:p w:rsidR="00C9769F" w:rsidRPr="00D50E91" w:rsidRDefault="00C9769F" w:rsidP="00C9769F">
      <w:pPr>
        <w:keepNext/>
        <w:numPr>
          <w:ilvl w:val="0"/>
          <w:numId w:val="2"/>
        </w:numPr>
        <w:spacing w:line="276" w:lineRule="auto"/>
        <w:ind w:left="0" w:firstLine="0"/>
        <w:jc w:val="center"/>
        <w:outlineLvl w:val="1"/>
        <w:rPr>
          <w:b/>
          <w:bCs/>
        </w:rPr>
      </w:pPr>
      <w:r w:rsidRPr="00D50E91">
        <w:rPr>
          <w:b/>
          <w:bCs/>
        </w:rPr>
        <w:t>§</w:t>
      </w:r>
    </w:p>
    <w:p w:rsidR="00C9769F" w:rsidRPr="00D50E91" w:rsidRDefault="00C9769F" w:rsidP="00C9769F">
      <w:pPr>
        <w:jc w:val="both"/>
      </w:pPr>
    </w:p>
    <w:p w:rsidR="00C9769F" w:rsidRPr="00D50E91" w:rsidRDefault="00C9769F" w:rsidP="00C9769F">
      <w:pPr>
        <w:jc w:val="both"/>
      </w:pPr>
      <w:r w:rsidRPr="00D50E91">
        <w:t>Az R. 52. alcím címe helyébe a következő alcím cím lép:</w:t>
      </w:r>
    </w:p>
    <w:p w:rsidR="00C9769F" w:rsidRPr="00D50E91" w:rsidRDefault="00C9769F" w:rsidP="00C9769F">
      <w:pPr>
        <w:jc w:val="both"/>
      </w:pPr>
    </w:p>
    <w:p w:rsidR="00C9769F" w:rsidRPr="00D50E91" w:rsidRDefault="00C9769F" w:rsidP="00C9769F">
      <w:pPr>
        <w:jc w:val="center"/>
      </w:pPr>
      <w:r w:rsidRPr="00D50E91">
        <w:t>„</w:t>
      </w:r>
      <w:r w:rsidRPr="00D50E91">
        <w:rPr>
          <w:b/>
        </w:rPr>
        <w:t>52. Hő</w:t>
      </w:r>
      <w:r w:rsidR="003528A8">
        <w:rPr>
          <w:b/>
        </w:rPr>
        <w:t>-</w:t>
      </w:r>
      <w:r w:rsidRPr="00D50E91">
        <w:rPr>
          <w:b/>
        </w:rPr>
        <w:t xml:space="preserve"> és füstelvezető szerkezet, hő</w:t>
      </w:r>
      <w:r w:rsidR="003528A8">
        <w:rPr>
          <w:b/>
        </w:rPr>
        <w:t>-</w:t>
      </w:r>
      <w:r w:rsidRPr="00D50E91">
        <w:rPr>
          <w:b/>
        </w:rPr>
        <w:t xml:space="preserve"> és füstelvezetésre szolgáló szabad nyílás</w:t>
      </w:r>
      <w:r w:rsidRPr="00D50E91">
        <w:t>”</w:t>
      </w:r>
    </w:p>
    <w:p w:rsidR="00C9769F" w:rsidRPr="00D50E91" w:rsidRDefault="00C9769F" w:rsidP="00C9769F">
      <w:pPr>
        <w:jc w:val="both"/>
      </w:pPr>
    </w:p>
    <w:p w:rsidR="00C9769F" w:rsidRPr="00D50E91" w:rsidRDefault="00C9769F" w:rsidP="00C9769F">
      <w:pPr>
        <w:keepNext/>
        <w:numPr>
          <w:ilvl w:val="0"/>
          <w:numId w:val="2"/>
        </w:numPr>
        <w:spacing w:line="276" w:lineRule="auto"/>
        <w:ind w:left="0" w:firstLine="0"/>
        <w:jc w:val="center"/>
        <w:outlineLvl w:val="1"/>
        <w:rPr>
          <w:b/>
          <w:bCs/>
        </w:rPr>
      </w:pPr>
      <w:r w:rsidRPr="00D50E91">
        <w:rPr>
          <w:b/>
          <w:bCs/>
        </w:rPr>
        <w:t>§</w:t>
      </w:r>
    </w:p>
    <w:p w:rsidR="00C9769F" w:rsidRPr="00D50E91" w:rsidRDefault="00C9769F" w:rsidP="00C9769F">
      <w:pPr>
        <w:jc w:val="both"/>
      </w:pPr>
    </w:p>
    <w:p w:rsidR="00C9769F" w:rsidRPr="00D50E91" w:rsidRDefault="00C9769F" w:rsidP="00C9769F">
      <w:pPr>
        <w:jc w:val="both"/>
      </w:pPr>
      <w:r w:rsidRPr="00D50E91">
        <w:t>Az R. 91. §</w:t>
      </w:r>
      <w:r w:rsidR="003528A8">
        <w:t>-</w:t>
      </w:r>
      <w:r w:rsidRPr="00D50E91">
        <w:t>a a következő (6) bekezdéssel egészül ki:</w:t>
      </w:r>
    </w:p>
    <w:p w:rsidR="00C9769F" w:rsidRPr="00D50E91" w:rsidRDefault="00C9769F" w:rsidP="00C9769F">
      <w:pPr>
        <w:jc w:val="both"/>
      </w:pPr>
    </w:p>
    <w:p w:rsidR="00C9769F" w:rsidRPr="00D50E91" w:rsidRDefault="00C9769F" w:rsidP="00C9769F">
      <w:pPr>
        <w:jc w:val="both"/>
      </w:pPr>
      <w:r w:rsidRPr="00D50E91">
        <w:lastRenderedPageBreak/>
        <w:t>„(6) A hő</w:t>
      </w:r>
      <w:r w:rsidR="003528A8">
        <w:t>-</w:t>
      </w:r>
      <w:r w:rsidRPr="00D50E91">
        <w:t xml:space="preserve"> és füstelvezetésre szolgáló szabad nyílások esetében a hő</w:t>
      </w:r>
      <w:r w:rsidR="003528A8">
        <w:t>-</w:t>
      </w:r>
      <w:r w:rsidRPr="00D50E91">
        <w:t xml:space="preserve"> és füstelvezető szerkezetekre vonatkozó követelményeket a hatásos nyílásfelület, valamint az elhelyezés tekintetében alkalmazni kell. A szabad nyílás átfolyási tényezőjeként alkalmazható normatív érték is.”</w:t>
      </w:r>
    </w:p>
    <w:p w:rsidR="00C9769F" w:rsidRPr="00D50E91" w:rsidRDefault="00C9769F" w:rsidP="00C9769F">
      <w:pPr>
        <w:jc w:val="both"/>
      </w:pPr>
    </w:p>
    <w:p w:rsidR="00C9769F" w:rsidRPr="00D50E91" w:rsidRDefault="00C9769F" w:rsidP="00C9769F">
      <w:pPr>
        <w:keepNext/>
        <w:numPr>
          <w:ilvl w:val="0"/>
          <w:numId w:val="2"/>
        </w:numPr>
        <w:spacing w:line="276" w:lineRule="auto"/>
        <w:ind w:left="0" w:firstLine="0"/>
        <w:jc w:val="center"/>
        <w:outlineLvl w:val="1"/>
        <w:rPr>
          <w:b/>
          <w:bCs/>
        </w:rPr>
      </w:pPr>
      <w:r w:rsidRPr="00D50E91">
        <w:rPr>
          <w:b/>
          <w:bCs/>
        </w:rPr>
        <w:t>§</w:t>
      </w:r>
    </w:p>
    <w:p w:rsidR="00C9769F" w:rsidRPr="00D50E91" w:rsidRDefault="00C9769F" w:rsidP="00C9769F">
      <w:pPr>
        <w:jc w:val="both"/>
      </w:pPr>
    </w:p>
    <w:p w:rsidR="00C9769F" w:rsidRPr="00D50E91" w:rsidRDefault="00C9769F" w:rsidP="00C9769F">
      <w:pPr>
        <w:jc w:val="both"/>
      </w:pPr>
      <w:r w:rsidRPr="00D50E91">
        <w:t>Az R. 93. § (4) bekezdése helyébe a következő rendelkezés lép:</w:t>
      </w:r>
    </w:p>
    <w:p w:rsidR="00C9769F" w:rsidRPr="00D50E91" w:rsidRDefault="00C9769F" w:rsidP="00C9769F">
      <w:pPr>
        <w:jc w:val="both"/>
      </w:pPr>
    </w:p>
    <w:p w:rsidR="00C9769F" w:rsidRPr="00D50E91" w:rsidRDefault="00C9769F" w:rsidP="00C9769F">
      <w:pPr>
        <w:jc w:val="both"/>
      </w:pPr>
      <w:r w:rsidRPr="00D50E91">
        <w:t>„A szomszédos füstszakaszokat úgy kell elválasztani egymástól, hogy az elválasztás a kiürítést ne akadályozza, a füst terjedését, szétterülését korlátozza.”</w:t>
      </w:r>
    </w:p>
    <w:p w:rsidR="00C9769F" w:rsidRPr="00D50E91" w:rsidRDefault="00C9769F" w:rsidP="00C9769F">
      <w:pPr>
        <w:jc w:val="both"/>
      </w:pPr>
    </w:p>
    <w:p w:rsidR="00C9769F" w:rsidRPr="00D50E91" w:rsidRDefault="00C9769F" w:rsidP="00C9769F">
      <w:pPr>
        <w:keepNext/>
        <w:numPr>
          <w:ilvl w:val="0"/>
          <w:numId w:val="2"/>
        </w:numPr>
        <w:spacing w:line="276" w:lineRule="auto"/>
        <w:ind w:left="0" w:firstLine="0"/>
        <w:jc w:val="center"/>
        <w:outlineLvl w:val="1"/>
        <w:rPr>
          <w:b/>
          <w:bCs/>
        </w:rPr>
      </w:pPr>
      <w:r w:rsidRPr="00D50E91">
        <w:rPr>
          <w:b/>
          <w:bCs/>
        </w:rPr>
        <w:t>§</w:t>
      </w:r>
    </w:p>
    <w:p w:rsidR="00C9769F" w:rsidRPr="00D50E91" w:rsidRDefault="00C9769F" w:rsidP="00C9769F">
      <w:pPr>
        <w:jc w:val="both"/>
      </w:pPr>
    </w:p>
    <w:p w:rsidR="00C9769F" w:rsidRPr="00D50E91" w:rsidRDefault="00C9769F" w:rsidP="00C9769F">
      <w:pPr>
        <w:jc w:val="both"/>
      </w:pPr>
      <w:r w:rsidRPr="00D50E91">
        <w:t>(1) Az R. 95. § (1) bekezdése helyébe a következő rendelkezés lép:</w:t>
      </w:r>
    </w:p>
    <w:p w:rsidR="00C9769F" w:rsidRPr="00D50E91" w:rsidRDefault="00C9769F" w:rsidP="00C9769F">
      <w:pPr>
        <w:jc w:val="both"/>
      </w:pPr>
    </w:p>
    <w:p w:rsidR="00C9769F" w:rsidRPr="00D50E91" w:rsidRDefault="00C9769F" w:rsidP="00C9769F">
      <w:pPr>
        <w:jc w:val="both"/>
      </w:pPr>
      <w:r w:rsidRPr="00D50E91">
        <w:t>„(1) A természetes légpótlás mértéke legalább megegyezik a természetes füstelvezetés számítással megállapított vagy a 9. melléklet 1. táblázatban előírt mértékével.”</w:t>
      </w:r>
    </w:p>
    <w:p w:rsidR="00C9769F" w:rsidRPr="00D50E91" w:rsidRDefault="00C9769F" w:rsidP="00C9769F">
      <w:pPr>
        <w:jc w:val="both"/>
      </w:pPr>
    </w:p>
    <w:p w:rsidR="00C9769F" w:rsidRPr="00D50E91" w:rsidRDefault="00C9769F" w:rsidP="00C9769F">
      <w:pPr>
        <w:jc w:val="both"/>
      </w:pPr>
      <w:r w:rsidRPr="00D50E91">
        <w:t>(2) Az R. 95. §</w:t>
      </w:r>
      <w:r w:rsidR="003528A8">
        <w:t>-</w:t>
      </w:r>
      <w:r w:rsidRPr="00D50E91">
        <w:t>a a következő (7) és (8) bekezdéssel egészül ki:</w:t>
      </w:r>
    </w:p>
    <w:p w:rsidR="00C9769F" w:rsidRPr="00D50E91" w:rsidRDefault="00C9769F" w:rsidP="00C9769F">
      <w:pPr>
        <w:jc w:val="both"/>
      </w:pPr>
    </w:p>
    <w:p w:rsidR="00C9769F" w:rsidRPr="00D50E91" w:rsidRDefault="00C9769F" w:rsidP="00C9769F">
      <w:pPr>
        <w:jc w:val="both"/>
      </w:pPr>
      <w:r w:rsidRPr="00D50E91">
        <w:t>„(7) A légpótlás biztosítható</w:t>
      </w:r>
    </w:p>
    <w:p w:rsidR="00C9769F" w:rsidRPr="00D50E91" w:rsidRDefault="00C9769F" w:rsidP="00C9769F">
      <w:pPr>
        <w:jc w:val="both"/>
      </w:pPr>
      <w:r w:rsidRPr="00D50E91">
        <w:t>a) természetes úton légpótló szerkezettel vagy állandóan nyitott szabad nyílással,</w:t>
      </w:r>
    </w:p>
    <w:p w:rsidR="00C9769F" w:rsidRPr="00D50E91" w:rsidRDefault="00C9769F" w:rsidP="00C9769F">
      <w:pPr>
        <w:jc w:val="both"/>
      </w:pPr>
      <w:r w:rsidRPr="00D50E91">
        <w:t>b) gépi úton légpótló berendezéssel vagy</w:t>
      </w:r>
    </w:p>
    <w:p w:rsidR="00C9769F" w:rsidRPr="00D50E91" w:rsidRDefault="00C9769F" w:rsidP="00C9769F">
      <w:pPr>
        <w:jc w:val="both"/>
      </w:pPr>
      <w:r w:rsidRPr="00D50E91">
        <w:t>c) a természetes és a gépi megoldás kombinációjával.</w:t>
      </w:r>
    </w:p>
    <w:p w:rsidR="00C9769F" w:rsidRPr="00D50E91" w:rsidRDefault="00C9769F" w:rsidP="00C9769F">
      <w:pPr>
        <w:jc w:val="both"/>
      </w:pPr>
    </w:p>
    <w:p w:rsidR="00C9769F" w:rsidRPr="00D50E91" w:rsidRDefault="00C9769F" w:rsidP="00C9769F">
      <w:pPr>
        <w:jc w:val="both"/>
      </w:pPr>
      <w:r w:rsidRPr="00D50E91">
        <w:t>(8) A légpótlásra szolgáló szabad nyílások esetében a légpótló szerkezetekre vonatkozó követelményeket a hatásos nyílásfelület, valamint az elhelyezés tekintetében alkalmazni kell.”</w:t>
      </w:r>
    </w:p>
    <w:p w:rsidR="00C9769F" w:rsidRPr="00D50E91" w:rsidRDefault="00C9769F" w:rsidP="00C9769F">
      <w:pPr>
        <w:jc w:val="both"/>
      </w:pPr>
    </w:p>
    <w:p w:rsidR="00C9769F" w:rsidRPr="00D50E91" w:rsidRDefault="00C9769F" w:rsidP="00C9769F">
      <w:pPr>
        <w:keepNext/>
        <w:numPr>
          <w:ilvl w:val="0"/>
          <w:numId w:val="2"/>
        </w:numPr>
        <w:spacing w:line="276" w:lineRule="auto"/>
        <w:ind w:left="0" w:firstLine="0"/>
        <w:jc w:val="center"/>
        <w:outlineLvl w:val="1"/>
        <w:rPr>
          <w:b/>
          <w:bCs/>
        </w:rPr>
      </w:pPr>
      <w:r w:rsidRPr="00D50E91">
        <w:rPr>
          <w:b/>
          <w:bCs/>
        </w:rPr>
        <w:t>§</w:t>
      </w:r>
    </w:p>
    <w:p w:rsidR="00C9769F" w:rsidRPr="00D50E91" w:rsidRDefault="00C9769F" w:rsidP="00C9769F">
      <w:pPr>
        <w:jc w:val="both"/>
      </w:pPr>
    </w:p>
    <w:p w:rsidR="00C9769F" w:rsidRPr="00D50E91" w:rsidRDefault="00C9769F" w:rsidP="00C9769F">
      <w:pPr>
        <w:jc w:val="both"/>
      </w:pPr>
      <w:r w:rsidRPr="00D50E91">
        <w:t>(1) Az R. 96. § (3) bekezdés helyébe a következő rendelkezés lép:</w:t>
      </w:r>
    </w:p>
    <w:p w:rsidR="00C9769F" w:rsidRPr="00D50E91" w:rsidRDefault="00C9769F" w:rsidP="00C9769F">
      <w:pPr>
        <w:jc w:val="both"/>
      </w:pPr>
    </w:p>
    <w:p w:rsidR="00C9769F" w:rsidRPr="00D50E91" w:rsidRDefault="00C9769F" w:rsidP="00C9769F">
      <w:pPr>
        <w:jc w:val="both"/>
      </w:pPr>
      <w:r w:rsidRPr="00D50E91">
        <w:t>„(3) Természetes hő</w:t>
      </w:r>
      <w:r w:rsidR="003528A8">
        <w:t>-</w:t>
      </w:r>
      <w:r w:rsidRPr="00D50E91">
        <w:t xml:space="preserve"> és füstelvezető vagy légpótló szerkezet alkalmazása esetén a szélirányt figyelembe kell venni a szerkezet elhelyezésénél és nyitási irányának meghatározásánál.”</w:t>
      </w:r>
    </w:p>
    <w:p w:rsidR="00C9769F" w:rsidRPr="00D50E91" w:rsidRDefault="00C9769F" w:rsidP="00C9769F">
      <w:pPr>
        <w:jc w:val="both"/>
      </w:pPr>
    </w:p>
    <w:p w:rsidR="00C9769F" w:rsidRPr="00D50E91" w:rsidRDefault="00C9769F" w:rsidP="00C9769F">
      <w:pPr>
        <w:jc w:val="both"/>
      </w:pPr>
      <w:r w:rsidRPr="00D50E91">
        <w:t>(2) Az R. 96. § (8) bekezdése helyébe a következő rendelkezés lép:</w:t>
      </w:r>
    </w:p>
    <w:p w:rsidR="00C9769F" w:rsidRPr="00D50E91" w:rsidRDefault="00C9769F" w:rsidP="00C9769F">
      <w:pPr>
        <w:jc w:val="both"/>
      </w:pPr>
    </w:p>
    <w:p w:rsidR="00C9769F" w:rsidRPr="00D50E91" w:rsidRDefault="00C9769F" w:rsidP="00C9769F">
      <w:pPr>
        <w:jc w:val="both"/>
      </w:pPr>
      <w:r w:rsidRPr="00D50E91">
        <w:t>„(8) A légpótlást a helyiségbe a hatékony hő</w:t>
      </w:r>
      <w:r w:rsidR="003528A8">
        <w:t>-</w:t>
      </w:r>
      <w:r w:rsidRPr="00D50E91">
        <w:t xml:space="preserve"> és füstelvezetést elősegítő helyen kell bejuttatni.”</w:t>
      </w:r>
    </w:p>
    <w:p w:rsidR="00C9769F" w:rsidRPr="00D50E91" w:rsidRDefault="00C9769F" w:rsidP="00C9769F">
      <w:pPr>
        <w:jc w:val="both"/>
      </w:pPr>
    </w:p>
    <w:p w:rsidR="00C9769F" w:rsidRPr="00D50E91" w:rsidRDefault="00C9769F" w:rsidP="00C9769F">
      <w:pPr>
        <w:keepNext/>
        <w:numPr>
          <w:ilvl w:val="0"/>
          <w:numId w:val="2"/>
        </w:numPr>
        <w:spacing w:line="276" w:lineRule="auto"/>
        <w:ind w:left="0" w:firstLine="0"/>
        <w:jc w:val="center"/>
        <w:outlineLvl w:val="1"/>
        <w:rPr>
          <w:b/>
          <w:bCs/>
        </w:rPr>
      </w:pPr>
      <w:r w:rsidRPr="00D50E91">
        <w:rPr>
          <w:b/>
          <w:bCs/>
        </w:rPr>
        <w:t>§</w:t>
      </w:r>
    </w:p>
    <w:p w:rsidR="00C9769F" w:rsidRPr="00D50E91" w:rsidRDefault="00C9769F" w:rsidP="00C9769F">
      <w:pPr>
        <w:jc w:val="both"/>
      </w:pPr>
    </w:p>
    <w:p w:rsidR="00C9769F" w:rsidRPr="00D50E91" w:rsidRDefault="00C9769F" w:rsidP="00C9769F">
      <w:pPr>
        <w:jc w:val="both"/>
      </w:pPr>
      <w:r w:rsidRPr="00D50E91">
        <w:t>Az R. 97. §</w:t>
      </w:r>
      <w:r w:rsidR="003528A8">
        <w:t>-</w:t>
      </w:r>
      <w:r w:rsidRPr="00D50E91">
        <w:t>a helyébe a következő rendelkezés lép:</w:t>
      </w:r>
    </w:p>
    <w:p w:rsidR="00C9769F" w:rsidRPr="00D50E91" w:rsidRDefault="00C9769F" w:rsidP="00C9769F">
      <w:pPr>
        <w:jc w:val="both"/>
      </w:pPr>
    </w:p>
    <w:p w:rsidR="00C9769F" w:rsidRPr="00D50E91" w:rsidRDefault="00C9769F" w:rsidP="00C9769F">
      <w:pPr>
        <w:jc w:val="both"/>
      </w:pPr>
      <w:r w:rsidRPr="00D50E91">
        <w:t>„(1) A lépcsőház füstmentesítését természetes átszellőzéssel vagy gépészet útján a lépcsőházba juttatott levegő túlnyomásával vagy a lépcsőház és a kapcsolódó terek között elhelyezett, természetes úton átszellőző vagy túlnyomásos füstmentes előtérrel kell biztosítani.</w:t>
      </w:r>
    </w:p>
    <w:p w:rsidR="00C9769F" w:rsidRPr="00D50E91" w:rsidRDefault="00C9769F" w:rsidP="00C9769F">
      <w:pPr>
        <w:jc w:val="both"/>
      </w:pPr>
    </w:p>
    <w:p w:rsidR="00C9769F" w:rsidRPr="00D50E91" w:rsidRDefault="00C9769F" w:rsidP="00C9769F">
      <w:pPr>
        <w:jc w:val="both"/>
      </w:pPr>
      <w:r w:rsidRPr="00D50E91">
        <w:t>(2) Túlnyomásos füstmentes lépcsőház, valamint túlnyomásos füstmentes előtér esetén</w:t>
      </w:r>
    </w:p>
    <w:p w:rsidR="00C9769F" w:rsidRPr="00D50E91" w:rsidRDefault="00C9769F" w:rsidP="00C9769F">
      <w:pPr>
        <w:jc w:val="both"/>
      </w:pPr>
      <w:r w:rsidRPr="00D50E91">
        <w:t>a) az ajtók nyitott és zárt állapotában is biztosítani kell a füstmentességet és</w:t>
      </w:r>
    </w:p>
    <w:p w:rsidR="00C9769F" w:rsidRPr="00D50E91" w:rsidRDefault="00C9769F" w:rsidP="00C9769F">
      <w:pPr>
        <w:jc w:val="both"/>
      </w:pPr>
      <w:r w:rsidRPr="00D50E91">
        <w:lastRenderedPageBreak/>
        <w:t>b) a túlnyomást biztosító légellátó vezeték lépcsőházon, valamint előtéren kívüli szakaszára a 9. melléklet 2. táblázata szerint, a többszakaszos légpótló légcsatornára vonatkozó követelményt kell teljesíteni.</w:t>
      </w:r>
    </w:p>
    <w:p w:rsidR="00C9769F" w:rsidRPr="00D50E91" w:rsidRDefault="00C9769F" w:rsidP="00C9769F">
      <w:pPr>
        <w:jc w:val="both"/>
      </w:pPr>
    </w:p>
    <w:p w:rsidR="00C9769F" w:rsidRPr="00D50E91" w:rsidRDefault="00C9769F" w:rsidP="00C9769F">
      <w:pPr>
        <w:jc w:val="both"/>
      </w:pPr>
      <w:r w:rsidRPr="00D50E91">
        <w:t>(3) A túlnyomásos füstmentes lépcsőházhoz vagy előteréhez kapcsolódó menekülési útvonalon a túlnyomásos térből bejutó levegő automatikus elvezetését meg kell oldani oly módon, hogy a menekülési útvonalon kialakuló túlnyomás ne veszélyeztesse a menekülést.”</w:t>
      </w:r>
    </w:p>
    <w:p w:rsidR="00C9769F" w:rsidRPr="00D50E91" w:rsidRDefault="00C9769F" w:rsidP="00C9769F">
      <w:pPr>
        <w:jc w:val="both"/>
      </w:pPr>
    </w:p>
    <w:p w:rsidR="00C9769F" w:rsidRPr="00D50E91" w:rsidRDefault="00C9769F" w:rsidP="00C9769F">
      <w:pPr>
        <w:keepNext/>
        <w:numPr>
          <w:ilvl w:val="0"/>
          <w:numId w:val="2"/>
        </w:numPr>
        <w:spacing w:line="276" w:lineRule="auto"/>
        <w:ind w:left="0" w:firstLine="0"/>
        <w:jc w:val="center"/>
        <w:outlineLvl w:val="1"/>
        <w:rPr>
          <w:b/>
          <w:bCs/>
        </w:rPr>
      </w:pPr>
      <w:r w:rsidRPr="00D50E91">
        <w:rPr>
          <w:b/>
          <w:bCs/>
        </w:rPr>
        <w:t>§</w:t>
      </w:r>
    </w:p>
    <w:p w:rsidR="00C9769F" w:rsidRPr="00D50E91" w:rsidRDefault="00C9769F" w:rsidP="00C9769F">
      <w:pPr>
        <w:jc w:val="both"/>
      </w:pPr>
    </w:p>
    <w:p w:rsidR="00C9769F" w:rsidRPr="00D50E91" w:rsidRDefault="00C9769F" w:rsidP="00C9769F">
      <w:pPr>
        <w:jc w:val="both"/>
      </w:pPr>
      <w:r w:rsidRPr="00D50E91">
        <w:t>Az R. 98. § (5) bekezdése helyébe a következő rendelkezés lép:</w:t>
      </w:r>
    </w:p>
    <w:p w:rsidR="00C9769F" w:rsidRPr="00D50E91" w:rsidRDefault="00C9769F" w:rsidP="00C9769F">
      <w:pPr>
        <w:jc w:val="both"/>
      </w:pPr>
    </w:p>
    <w:p w:rsidR="00C9769F" w:rsidRPr="00D50E91" w:rsidRDefault="00C9769F" w:rsidP="00C9769F">
      <w:pPr>
        <w:jc w:val="both"/>
      </w:pPr>
      <w:r w:rsidRPr="00D50E91">
        <w:t>„(5) A füstmentes lépcsőházba és a füstmentes előtérbe a szomszédos helyiségek és egyéb, ajtónak nem minősülő nyílászárók úgy nyílhatnak, hogy azok a füstmentesítés működését és a kiürítést nem veszélyeztethetik.”</w:t>
      </w:r>
    </w:p>
    <w:p w:rsidR="00C9769F" w:rsidRPr="00D50E91" w:rsidRDefault="00C9769F" w:rsidP="00C9769F">
      <w:pPr>
        <w:jc w:val="both"/>
      </w:pPr>
    </w:p>
    <w:p w:rsidR="00C9769F" w:rsidRPr="00D50E91" w:rsidRDefault="00C9769F" w:rsidP="00C9769F">
      <w:pPr>
        <w:keepNext/>
        <w:numPr>
          <w:ilvl w:val="0"/>
          <w:numId w:val="2"/>
        </w:numPr>
        <w:spacing w:line="276" w:lineRule="auto"/>
        <w:ind w:left="0" w:firstLine="0"/>
        <w:jc w:val="center"/>
        <w:outlineLvl w:val="1"/>
        <w:rPr>
          <w:b/>
          <w:bCs/>
        </w:rPr>
      </w:pPr>
      <w:r w:rsidRPr="00D50E91">
        <w:rPr>
          <w:b/>
          <w:bCs/>
        </w:rPr>
        <w:t>§</w:t>
      </w:r>
    </w:p>
    <w:p w:rsidR="00C9769F" w:rsidRPr="00D50E91" w:rsidRDefault="00C9769F" w:rsidP="00C9769F">
      <w:pPr>
        <w:jc w:val="both"/>
      </w:pPr>
    </w:p>
    <w:p w:rsidR="00C9769F" w:rsidRPr="00D50E91" w:rsidRDefault="00C9769F" w:rsidP="00C9769F">
      <w:pPr>
        <w:jc w:val="both"/>
      </w:pPr>
      <w:r w:rsidRPr="00D50E91">
        <w:t>Az R. XI. fejezet címe helyébe a következő fejezet cím lép:</w:t>
      </w:r>
    </w:p>
    <w:p w:rsidR="00C9769F" w:rsidRPr="00D50E91" w:rsidRDefault="00C9769F" w:rsidP="00C9769F">
      <w:pPr>
        <w:jc w:val="both"/>
      </w:pPr>
    </w:p>
    <w:p w:rsidR="00C9769F" w:rsidRPr="00D50E91" w:rsidRDefault="00C9769F" w:rsidP="00C9769F">
      <w:pPr>
        <w:jc w:val="both"/>
        <w:rPr>
          <w:i/>
        </w:rPr>
      </w:pPr>
      <w:r w:rsidRPr="00D50E91">
        <w:t>„</w:t>
      </w:r>
      <w:r w:rsidRPr="00D50E91">
        <w:rPr>
          <w:i/>
        </w:rPr>
        <w:t>XI. FEJEZET</w:t>
      </w:r>
    </w:p>
    <w:p w:rsidR="00C9769F" w:rsidRPr="00D50E91" w:rsidRDefault="00C9769F" w:rsidP="00C9769F">
      <w:pPr>
        <w:jc w:val="both"/>
      </w:pPr>
      <w:r w:rsidRPr="00D50E91">
        <w:rPr>
          <w:i/>
        </w:rPr>
        <w:t>ROBBANÁS ELLENI VÉDELEM</w:t>
      </w:r>
      <w:r w:rsidRPr="00D50E91">
        <w:t>”</w:t>
      </w:r>
    </w:p>
    <w:p w:rsidR="00C9769F" w:rsidRPr="00D50E91" w:rsidRDefault="00C9769F" w:rsidP="00C9769F">
      <w:pPr>
        <w:jc w:val="both"/>
      </w:pPr>
    </w:p>
    <w:p w:rsidR="00C9769F" w:rsidRPr="00D50E91" w:rsidRDefault="00C9769F" w:rsidP="00C9769F">
      <w:pPr>
        <w:keepNext/>
        <w:numPr>
          <w:ilvl w:val="0"/>
          <w:numId w:val="2"/>
        </w:numPr>
        <w:spacing w:line="276" w:lineRule="auto"/>
        <w:ind w:left="0" w:firstLine="0"/>
        <w:jc w:val="center"/>
        <w:outlineLvl w:val="1"/>
        <w:rPr>
          <w:b/>
          <w:bCs/>
        </w:rPr>
      </w:pPr>
      <w:r w:rsidRPr="00D50E91">
        <w:rPr>
          <w:b/>
          <w:bCs/>
        </w:rPr>
        <w:t>§</w:t>
      </w:r>
    </w:p>
    <w:p w:rsidR="00C9769F" w:rsidRPr="00D50E91" w:rsidRDefault="00C9769F" w:rsidP="00C9769F">
      <w:pPr>
        <w:jc w:val="both"/>
      </w:pPr>
    </w:p>
    <w:p w:rsidR="00C9769F" w:rsidRPr="00D50E91" w:rsidRDefault="00C9769F" w:rsidP="00C9769F">
      <w:pPr>
        <w:jc w:val="both"/>
      </w:pPr>
      <w:r w:rsidRPr="00D50E91">
        <w:t>Az R. 99. §</w:t>
      </w:r>
      <w:r w:rsidR="003528A8">
        <w:t>-</w:t>
      </w:r>
      <w:r w:rsidRPr="00D50E91">
        <w:t>a helyébe a következő rendelkezés lép:</w:t>
      </w:r>
    </w:p>
    <w:p w:rsidR="00C9769F" w:rsidRPr="00D50E91" w:rsidRDefault="00C9769F" w:rsidP="00C9769F">
      <w:pPr>
        <w:jc w:val="both"/>
      </w:pPr>
    </w:p>
    <w:p w:rsidR="00C9769F" w:rsidRPr="00D50E91" w:rsidRDefault="00C9769F" w:rsidP="00C9769F">
      <w:pPr>
        <w:jc w:val="both"/>
      </w:pPr>
      <w:r w:rsidRPr="00D50E91">
        <w:t>„99. § (1) A fokozottan tűz</w:t>
      </w:r>
      <w:r w:rsidR="003528A8">
        <w:t>-</w:t>
      </w:r>
      <w:r w:rsidRPr="00D50E91">
        <w:t xml:space="preserve"> vagy robbanásveszélyes osztályba tartozó anyag előállítása, feldolgozása, használata, tárolása és forgalmazása során az érintett térrészben, helyiségben, építményben, ipari technológiai egységben a robbanás elleni védelmet biztosítani kell. A létesítés (tervezés és kivitelezés) során dokumentált védelmi intézkedéseket kell végrehajtani.</w:t>
      </w:r>
    </w:p>
    <w:p w:rsidR="00C9769F" w:rsidRPr="00D50E91" w:rsidRDefault="00C9769F" w:rsidP="00C9769F">
      <w:pPr>
        <w:jc w:val="both"/>
      </w:pPr>
    </w:p>
    <w:p w:rsidR="00C9769F" w:rsidRPr="00D50E91" w:rsidRDefault="00C9769F" w:rsidP="00C9769F">
      <w:pPr>
        <w:jc w:val="both"/>
      </w:pPr>
      <w:r w:rsidRPr="00D50E91">
        <w:t>(2) A robbanás elleni védelem kialakításához a robbanásveszélyes terek robbanásvédelmi zónába sorolását el kell végezni.</w:t>
      </w:r>
    </w:p>
    <w:p w:rsidR="00C9769F" w:rsidRPr="00D50E91" w:rsidRDefault="00C9769F" w:rsidP="00C9769F">
      <w:pPr>
        <w:jc w:val="both"/>
      </w:pPr>
    </w:p>
    <w:p w:rsidR="00C9769F" w:rsidRPr="00D50E91" w:rsidRDefault="00C9769F" w:rsidP="00C9769F">
      <w:pPr>
        <w:jc w:val="both"/>
      </w:pPr>
      <w:r w:rsidRPr="00D50E91">
        <w:t>(3) Ott, ahol fokozottan tűz</w:t>
      </w:r>
      <w:r w:rsidR="003528A8">
        <w:t>-</w:t>
      </w:r>
      <w:r w:rsidRPr="00D50E91">
        <w:t xml:space="preserve"> vagy robbanásveszélyes osztályba tartozó anyag előállítása, feldolgozása, használata, tárolása és forgalmazása történik, a robbanásveszélyes zónák nagyságát, alakját, minőségét és a telepített berendezések megengedett legmagasabb felületi hőmérsékletét meg kell határozni.</w:t>
      </w:r>
    </w:p>
    <w:p w:rsidR="00C9769F" w:rsidRPr="00D50E91" w:rsidRDefault="00C9769F" w:rsidP="00C9769F">
      <w:pPr>
        <w:jc w:val="both"/>
      </w:pPr>
    </w:p>
    <w:p w:rsidR="00C9769F" w:rsidRPr="00D50E91" w:rsidRDefault="00C9769F" w:rsidP="00C9769F">
      <w:pPr>
        <w:jc w:val="both"/>
      </w:pPr>
      <w:r w:rsidRPr="00D50E91">
        <w:t xml:space="preserve">(4) A robbanás elleni védelem biztosítása céljából </w:t>
      </w:r>
    </w:p>
    <w:p w:rsidR="00C9769F" w:rsidRPr="00D50E91" w:rsidRDefault="00C9769F" w:rsidP="00C9769F">
      <w:pPr>
        <w:jc w:val="both"/>
      </w:pPr>
      <w:r w:rsidRPr="00D50E91">
        <w:t>(a) a fokozottan tűz</w:t>
      </w:r>
      <w:r w:rsidR="003528A8">
        <w:t>-</w:t>
      </w:r>
      <w:r w:rsidRPr="00D50E91">
        <w:t xml:space="preserve"> vagy robbanásveszélyes anyag jelenlétét térben és időben korlátozni kell, </w:t>
      </w:r>
    </w:p>
    <w:p w:rsidR="00C9769F" w:rsidRPr="00D50E91" w:rsidRDefault="00C9769F" w:rsidP="00C9769F">
      <w:pPr>
        <w:jc w:val="both"/>
      </w:pPr>
      <w:r w:rsidRPr="00D50E91">
        <w:t>(b) a lehetséges gyújtóforrások kizárásáról, korlátozásáról gondoskodni kell,</w:t>
      </w:r>
    </w:p>
    <w:p w:rsidR="00C9769F" w:rsidRPr="00D50E91" w:rsidRDefault="00C9769F" w:rsidP="00C9769F">
      <w:pPr>
        <w:jc w:val="both"/>
      </w:pPr>
      <w:r w:rsidRPr="00D50E91">
        <w:t xml:space="preserve">(c) a robbanásveszélyes térben az esetlegesen bekövetkező robbanás káros hatásait korlátozni kell. </w:t>
      </w:r>
    </w:p>
    <w:p w:rsidR="00C9769F" w:rsidRPr="00D50E91" w:rsidRDefault="00C9769F" w:rsidP="00C9769F">
      <w:pPr>
        <w:jc w:val="both"/>
      </w:pPr>
    </w:p>
    <w:p w:rsidR="00C9769F" w:rsidRPr="00D50E91" w:rsidRDefault="00C9769F" w:rsidP="00C9769F">
      <w:pPr>
        <w:jc w:val="both"/>
      </w:pPr>
      <w:r w:rsidRPr="00D50E91">
        <w:t>(5) Robbanásveszélyes technológia alkalmazása esetén az esetlegesen bekövetkező robbanás káros hatásait olyan módon kell korlátozni, hogy</w:t>
      </w:r>
    </w:p>
    <w:p w:rsidR="00C9769F" w:rsidRPr="00D50E91" w:rsidRDefault="00C9769F" w:rsidP="00C9769F">
      <w:pPr>
        <w:jc w:val="both"/>
      </w:pPr>
      <w:r w:rsidRPr="00D50E91">
        <w:t>(a) nem idéz elő a technológián kívüli robbanást,</w:t>
      </w:r>
    </w:p>
    <w:p w:rsidR="00C9769F" w:rsidRPr="00D50E91" w:rsidRDefault="00C9769F" w:rsidP="00C9769F">
      <w:pPr>
        <w:jc w:val="both"/>
      </w:pPr>
      <w:r w:rsidRPr="00D50E91">
        <w:t>(b) közlekedési útvonalat, személyeket nem veszélyeztet,</w:t>
      </w:r>
    </w:p>
    <w:p w:rsidR="00C9769F" w:rsidRPr="00D50E91" w:rsidRDefault="00C9769F" w:rsidP="00C9769F">
      <w:pPr>
        <w:jc w:val="both"/>
      </w:pPr>
      <w:r w:rsidRPr="00D50E91">
        <w:lastRenderedPageBreak/>
        <w:t>(c) az építményszerkezeteket a lehető legkisebb károsodás érje.</w:t>
      </w:r>
    </w:p>
    <w:p w:rsidR="00C9769F" w:rsidRPr="00D50E91" w:rsidRDefault="00C9769F" w:rsidP="00C9769F">
      <w:pPr>
        <w:jc w:val="both"/>
      </w:pPr>
    </w:p>
    <w:p w:rsidR="00C9769F" w:rsidRPr="00D50E91" w:rsidRDefault="00C9769F" w:rsidP="00C9769F">
      <w:pPr>
        <w:jc w:val="both"/>
      </w:pPr>
      <w:r w:rsidRPr="00D50E91">
        <w:t>(6) Robbanásveszélyes térben csak olyan villamos és nem villamos berendezések alkalmazhatóak, amelyek a robbanásveszélyes zónának megfelelő robbanásbiztos védelmi móddal rendelkeznek.”</w:t>
      </w:r>
    </w:p>
    <w:p w:rsidR="00C9769F" w:rsidRPr="00D50E91" w:rsidRDefault="00C9769F" w:rsidP="00C9769F">
      <w:pPr>
        <w:jc w:val="both"/>
      </w:pPr>
    </w:p>
    <w:p w:rsidR="00C9769F" w:rsidRPr="00D50E91" w:rsidRDefault="00C9769F" w:rsidP="00C9769F">
      <w:pPr>
        <w:keepNext/>
        <w:numPr>
          <w:ilvl w:val="0"/>
          <w:numId w:val="2"/>
        </w:numPr>
        <w:spacing w:line="276" w:lineRule="auto"/>
        <w:ind w:left="0" w:firstLine="0"/>
        <w:jc w:val="center"/>
        <w:outlineLvl w:val="1"/>
        <w:rPr>
          <w:b/>
          <w:bCs/>
        </w:rPr>
      </w:pPr>
      <w:r w:rsidRPr="00D50E91">
        <w:rPr>
          <w:b/>
          <w:bCs/>
        </w:rPr>
        <w:t>§</w:t>
      </w:r>
    </w:p>
    <w:p w:rsidR="00C9769F" w:rsidRPr="00D50E91" w:rsidRDefault="00C9769F" w:rsidP="00C9769F">
      <w:pPr>
        <w:jc w:val="both"/>
      </w:pPr>
    </w:p>
    <w:p w:rsidR="00C9769F" w:rsidRPr="00D50E91" w:rsidRDefault="00C9769F" w:rsidP="00C9769F">
      <w:pPr>
        <w:jc w:val="both"/>
      </w:pPr>
      <w:r w:rsidRPr="00D50E91">
        <w:t>Az R. 118. § (9) bekezdése helyébe a következő rendelkezés lép:</w:t>
      </w:r>
    </w:p>
    <w:p w:rsidR="00C9769F" w:rsidRPr="00D50E91" w:rsidRDefault="00C9769F" w:rsidP="00C9769F">
      <w:pPr>
        <w:jc w:val="both"/>
      </w:pPr>
    </w:p>
    <w:p w:rsidR="00C9769F" w:rsidRPr="00D50E91" w:rsidRDefault="00C9769F" w:rsidP="00C9769F">
      <w:pPr>
        <w:jc w:val="both"/>
      </w:pPr>
      <w:r w:rsidRPr="00D50E91">
        <w:t>„(9) A hő</w:t>
      </w:r>
      <w:r w:rsidR="003528A8">
        <w:t>-</w:t>
      </w:r>
      <w:r w:rsidRPr="00D50E91">
        <w:t xml:space="preserve"> és füstelvezető berendezésben alkalmazott ventilátoroknak, a meghajtó villamos motoroknak legalább 400 °C</w:t>
      </w:r>
      <w:r w:rsidR="003528A8">
        <w:t>-</w:t>
      </w:r>
      <w:r w:rsidRPr="00D50E91">
        <w:t>os füstgázhőmérsékletet figyelembe véve legalább 60 percig kell üzemképesnek lenniük. A hő</w:t>
      </w:r>
      <w:r w:rsidR="003528A8">
        <w:t>-</w:t>
      </w:r>
      <w:r w:rsidRPr="00D50E91">
        <w:t xml:space="preserve"> és füstelvezető rendszer elvezető légcsatorna</w:t>
      </w:r>
      <w:r w:rsidR="003528A8">
        <w:t>-</w:t>
      </w:r>
      <w:r w:rsidRPr="00D50E91">
        <w:t>hálózata legalább A1 EI 60 S multi, a légpótlást biztosító csatornahálózata legalább A1 EI 60 S multi tűzvédelmi teljesítményű legyen, az MSZ EN 1363</w:t>
      </w:r>
      <w:r w:rsidR="003528A8">
        <w:t>-</w:t>
      </w:r>
      <w:r w:rsidRPr="00D50E91">
        <w:t xml:space="preserve">1 szabvány tűzgörbéje szerinti vizsgálattal.” </w:t>
      </w:r>
    </w:p>
    <w:p w:rsidR="00C9769F" w:rsidRPr="00D50E91" w:rsidRDefault="00C9769F" w:rsidP="00C9769F">
      <w:pPr>
        <w:jc w:val="both"/>
      </w:pPr>
    </w:p>
    <w:p w:rsidR="00C9769F" w:rsidRPr="00D50E91" w:rsidRDefault="00C9769F" w:rsidP="00C9769F">
      <w:pPr>
        <w:keepNext/>
        <w:numPr>
          <w:ilvl w:val="0"/>
          <w:numId w:val="2"/>
        </w:numPr>
        <w:spacing w:line="276" w:lineRule="auto"/>
        <w:ind w:left="0" w:firstLine="0"/>
        <w:jc w:val="center"/>
        <w:outlineLvl w:val="1"/>
        <w:rPr>
          <w:b/>
          <w:bCs/>
        </w:rPr>
      </w:pPr>
      <w:r w:rsidRPr="00D50E91">
        <w:rPr>
          <w:b/>
          <w:bCs/>
        </w:rPr>
        <w:t>§</w:t>
      </w:r>
    </w:p>
    <w:p w:rsidR="00C9769F" w:rsidRPr="00D50E91" w:rsidRDefault="00C9769F" w:rsidP="00C9769F">
      <w:pPr>
        <w:jc w:val="both"/>
      </w:pPr>
    </w:p>
    <w:p w:rsidR="00C9769F" w:rsidRPr="00D50E91" w:rsidRDefault="00C9769F" w:rsidP="00C9769F">
      <w:pPr>
        <w:jc w:val="both"/>
      </w:pPr>
      <w:r w:rsidRPr="00D50E91">
        <w:t>Az R. 135. §</w:t>
      </w:r>
      <w:r w:rsidR="003528A8">
        <w:t>-</w:t>
      </w:r>
      <w:r w:rsidRPr="00D50E91">
        <w:t>a a következő (1a) és (1b) bekezdéssel egészül ki:</w:t>
      </w:r>
    </w:p>
    <w:p w:rsidR="00C9769F" w:rsidRPr="00D50E91" w:rsidRDefault="00C9769F" w:rsidP="00C9769F">
      <w:pPr>
        <w:jc w:val="both"/>
      </w:pPr>
    </w:p>
    <w:p w:rsidR="00C9769F" w:rsidRPr="00D50E91" w:rsidRDefault="00C9769F" w:rsidP="00C9769F">
      <w:pPr>
        <w:jc w:val="both"/>
      </w:pPr>
      <w:r w:rsidRPr="00D50E91">
        <w:t xml:space="preserve">„(1a) Ikerházak és sorházak esetében, amikor a villamos betáplálás a közműhálózatról több csatlakozóvezetékkel történik, a tűzeseti lekapcsolás lakásonként, önálló épületrészenként is kialakítható. </w:t>
      </w:r>
    </w:p>
    <w:p w:rsidR="00C9769F" w:rsidRPr="00D50E91" w:rsidRDefault="00C9769F" w:rsidP="00C9769F">
      <w:pPr>
        <w:jc w:val="both"/>
      </w:pPr>
    </w:p>
    <w:p w:rsidR="00C9769F" w:rsidRPr="00D50E91" w:rsidRDefault="00C9769F" w:rsidP="00C9769F">
      <w:pPr>
        <w:jc w:val="both"/>
      </w:pPr>
      <w:r w:rsidRPr="00D50E91">
        <w:t>(1b) Az (1) bekezdés szerint kialakított építményekben az építményrészek külön lekapcsolásának szükségességét és kialakítását a tűzvédelmi hatósággal kell egyeztetni.”</w:t>
      </w:r>
    </w:p>
    <w:p w:rsidR="00C9769F" w:rsidRPr="00D50E91" w:rsidRDefault="00C9769F" w:rsidP="00C9769F">
      <w:pPr>
        <w:jc w:val="both"/>
      </w:pPr>
    </w:p>
    <w:p w:rsidR="00C9769F" w:rsidRPr="00D50E91" w:rsidRDefault="00C9769F" w:rsidP="00C9769F">
      <w:pPr>
        <w:keepNext/>
        <w:numPr>
          <w:ilvl w:val="0"/>
          <w:numId w:val="2"/>
        </w:numPr>
        <w:spacing w:line="276" w:lineRule="auto"/>
        <w:ind w:left="0" w:firstLine="0"/>
        <w:jc w:val="center"/>
        <w:outlineLvl w:val="1"/>
        <w:rPr>
          <w:b/>
          <w:bCs/>
        </w:rPr>
      </w:pPr>
      <w:r w:rsidRPr="00D50E91">
        <w:rPr>
          <w:b/>
          <w:bCs/>
        </w:rPr>
        <w:t>§</w:t>
      </w:r>
    </w:p>
    <w:p w:rsidR="00C9769F" w:rsidRPr="00D50E91" w:rsidRDefault="00C9769F" w:rsidP="00C9769F">
      <w:pPr>
        <w:jc w:val="both"/>
      </w:pPr>
    </w:p>
    <w:p w:rsidR="00C9769F" w:rsidRPr="00D50E91" w:rsidRDefault="00C9769F" w:rsidP="00C9769F">
      <w:pPr>
        <w:jc w:val="both"/>
      </w:pPr>
      <w:r w:rsidRPr="00D50E91">
        <w:t>Az R. 138. §</w:t>
      </w:r>
      <w:r w:rsidR="003528A8">
        <w:t>-</w:t>
      </w:r>
      <w:r w:rsidRPr="00D50E91">
        <w:t>a helyébe a következő rendelkezés lép:</w:t>
      </w:r>
    </w:p>
    <w:p w:rsidR="00C9769F" w:rsidRPr="00D50E91" w:rsidRDefault="00C9769F" w:rsidP="00C9769F">
      <w:pPr>
        <w:jc w:val="both"/>
      </w:pPr>
    </w:p>
    <w:p w:rsidR="00C9769F" w:rsidRPr="00D50E91" w:rsidRDefault="00C9769F" w:rsidP="00C9769F">
      <w:pPr>
        <w:jc w:val="both"/>
      </w:pPr>
      <w:r w:rsidRPr="00D50E91">
        <w:t>„138. § (1) Nem szükséges a tápforrás és a tűzeseti fogyasztó közötti energiaátvitel és a működtetést, vezérlést biztosító vezetékrendszer tűzhatás elleni védelmét biztosítani, ha</w:t>
      </w:r>
    </w:p>
    <w:p w:rsidR="00C9769F" w:rsidRPr="00D50E91" w:rsidRDefault="00C9769F" w:rsidP="00C9769F">
      <w:pPr>
        <w:jc w:val="both"/>
      </w:pPr>
      <w:r w:rsidRPr="00D50E91">
        <w:t>a) a biztonsági tápforrást a tűzeseti fogyasztóban helyezték el vagy</w:t>
      </w:r>
    </w:p>
    <w:p w:rsidR="00C9769F" w:rsidRPr="00D50E91" w:rsidRDefault="00C9769F" w:rsidP="00C9769F">
      <w:pPr>
        <w:jc w:val="both"/>
      </w:pPr>
      <w:r w:rsidRPr="00D50E91">
        <w:t>b) a tűzeseti fogyasztók tűzszakaszon belüli kiesését a 11. mellékletben foglalt 2. táblázat szerint korlátozzák és az energiaátvitelt, működtetést, vezérlést biztosító vezetékrendszer a kiesés által érintett fogyasztókkal azonos tűzszakaszban található.</w:t>
      </w:r>
    </w:p>
    <w:p w:rsidR="00C9769F" w:rsidRPr="00D50E91" w:rsidRDefault="00C9769F" w:rsidP="00C9769F">
      <w:pPr>
        <w:jc w:val="both"/>
      </w:pPr>
    </w:p>
    <w:p w:rsidR="00C9769F" w:rsidRPr="00D50E91" w:rsidRDefault="00C9769F" w:rsidP="00C9769F">
      <w:pPr>
        <w:jc w:val="both"/>
      </w:pPr>
      <w:r w:rsidRPr="00D50E91">
        <w:t>(2) Nem szükséges a füstmentes lépcsőházi biztonsági világítás lépcsőházon belüli vezetékrendszerének tűzhatás elleni védelmét biztosítani, ha az kizárólag a lépcsőház biztonsági világításának megtáplálására szolgáló áramkörről üzemel.</w:t>
      </w:r>
    </w:p>
    <w:p w:rsidR="00C9769F" w:rsidRPr="00D50E91" w:rsidRDefault="00C9769F" w:rsidP="00C9769F">
      <w:pPr>
        <w:jc w:val="both"/>
      </w:pPr>
    </w:p>
    <w:p w:rsidR="00C9769F" w:rsidRPr="00D50E91" w:rsidRDefault="00C9769F" w:rsidP="00C9769F">
      <w:pPr>
        <w:jc w:val="both"/>
      </w:pPr>
      <w:r w:rsidRPr="00D50E91">
        <w:t>(3) A vezetékrendszer végponti, tűzeseti fogyasztóhoz csatlakozó, legfeljebb 15 m hosszú szakaszán nem szükséges tűzálló kábeltartó</w:t>
      </w:r>
      <w:r w:rsidR="003528A8">
        <w:t>-</w:t>
      </w:r>
      <w:r w:rsidRPr="00D50E91">
        <w:t xml:space="preserve">szerkezet alkalmazása, ha a végponti vezetékszakasz </w:t>
      </w:r>
    </w:p>
    <w:p w:rsidR="00C9769F" w:rsidRPr="00D50E91" w:rsidRDefault="00C9769F" w:rsidP="00C9769F">
      <w:pPr>
        <w:jc w:val="both"/>
      </w:pPr>
      <w:r w:rsidRPr="00D50E91">
        <w:t>a) egyetlen olyan fogyasztóhoz csatlakozik, amelynek tűzhatás elleni védelme nem biztosított,</w:t>
      </w:r>
    </w:p>
    <w:p w:rsidR="00C9769F" w:rsidRPr="00D50E91" w:rsidRDefault="00C9769F" w:rsidP="00C9769F">
      <w:pPr>
        <w:jc w:val="both"/>
      </w:pPr>
      <w:r w:rsidRPr="00D50E91">
        <w:t>b) rögzítése olyan építményszerkezeten történik, melynek a tűzállósági teljesítménye kisebb, mint a tűzeseti fogyasztó működésére vonatkozó követelmény és</w:t>
      </w:r>
    </w:p>
    <w:p w:rsidR="00C9769F" w:rsidRPr="00D50E91" w:rsidRDefault="00C9769F" w:rsidP="00C9769F">
      <w:pPr>
        <w:jc w:val="both"/>
      </w:pPr>
      <w:r w:rsidRPr="00D50E91">
        <w:t>c) a végponti fogyasztóval azonos helyiségben helyezkedik el.”</w:t>
      </w:r>
    </w:p>
    <w:p w:rsidR="00C9769F" w:rsidRPr="00D50E91" w:rsidRDefault="00C9769F" w:rsidP="00C9769F">
      <w:pPr>
        <w:jc w:val="both"/>
      </w:pPr>
    </w:p>
    <w:p w:rsidR="00C9769F" w:rsidRPr="00D50E91" w:rsidRDefault="00C9769F" w:rsidP="00C9769F">
      <w:pPr>
        <w:keepNext/>
        <w:numPr>
          <w:ilvl w:val="0"/>
          <w:numId w:val="2"/>
        </w:numPr>
        <w:spacing w:line="276" w:lineRule="auto"/>
        <w:ind w:left="0" w:firstLine="0"/>
        <w:jc w:val="center"/>
        <w:outlineLvl w:val="1"/>
        <w:rPr>
          <w:b/>
          <w:bCs/>
        </w:rPr>
      </w:pPr>
      <w:r w:rsidRPr="00D50E91">
        <w:rPr>
          <w:b/>
          <w:bCs/>
        </w:rPr>
        <w:lastRenderedPageBreak/>
        <w:t>§</w:t>
      </w:r>
    </w:p>
    <w:p w:rsidR="00C9769F" w:rsidRPr="00D50E91" w:rsidRDefault="00C9769F" w:rsidP="00C9769F">
      <w:pPr>
        <w:jc w:val="both"/>
      </w:pPr>
    </w:p>
    <w:p w:rsidR="00C9769F" w:rsidRPr="00D50E91" w:rsidRDefault="00C9769F" w:rsidP="00C9769F">
      <w:pPr>
        <w:jc w:val="both"/>
      </w:pPr>
      <w:r w:rsidRPr="00D50E91">
        <w:t>Az R. 140. § (1)</w:t>
      </w:r>
      <w:r w:rsidR="003528A8">
        <w:t>-</w:t>
      </w:r>
      <w:r w:rsidRPr="00D50E91">
        <w:t>(3) bekezdése helyébe a következő rendelkezés lép:</w:t>
      </w:r>
    </w:p>
    <w:p w:rsidR="00C9769F" w:rsidRPr="00D50E91" w:rsidRDefault="00C9769F" w:rsidP="00C9769F">
      <w:pPr>
        <w:jc w:val="both"/>
      </w:pPr>
    </w:p>
    <w:p w:rsidR="00C9769F" w:rsidRPr="00D50E91" w:rsidRDefault="00C9769F" w:rsidP="00C9769F">
      <w:pPr>
        <w:jc w:val="both"/>
      </w:pPr>
      <w:r w:rsidRPr="00D50E91">
        <w:t>„140. § (1) A villámcsapások hatásaival szembeni védelmet norma szerinti villámvédelemmel (jelölése: NV) kell biztosítani</w:t>
      </w:r>
    </w:p>
    <w:p w:rsidR="00C9769F" w:rsidRPr="00D50E91" w:rsidRDefault="00C9769F" w:rsidP="00C9769F">
      <w:pPr>
        <w:jc w:val="both"/>
      </w:pPr>
      <w:r w:rsidRPr="00D50E91">
        <w:t>a) új építménynél,</w:t>
      </w:r>
    </w:p>
    <w:p w:rsidR="00C9769F" w:rsidRPr="00D50E91" w:rsidRDefault="00C9769F" w:rsidP="00C9769F">
      <w:pPr>
        <w:jc w:val="both"/>
      </w:pPr>
      <w:r w:rsidRPr="00D50E91">
        <w:t>b) a meglévő építmény rendeltetésének megváltozása során,</w:t>
      </w:r>
    </w:p>
    <w:p w:rsidR="00C9769F" w:rsidRPr="00D50E91" w:rsidRDefault="00C9769F" w:rsidP="00C9769F">
      <w:pPr>
        <w:jc w:val="both"/>
      </w:pPr>
      <w:r w:rsidRPr="00D50E91">
        <w:t>c) a meglévő építmény olyan bővítése esetén, melynek következtében az eredeti tetőfelület vízszintes vetülete 40%</w:t>
      </w:r>
      <w:r w:rsidR="003528A8">
        <w:t>-</w:t>
      </w:r>
      <w:r w:rsidRPr="00D50E91">
        <w:t>ot meghaladó mértékben növekszik.</w:t>
      </w:r>
    </w:p>
    <w:p w:rsidR="00C9769F" w:rsidRPr="00D50E91" w:rsidRDefault="00C9769F" w:rsidP="00C9769F">
      <w:pPr>
        <w:jc w:val="both"/>
      </w:pPr>
    </w:p>
    <w:p w:rsidR="00C9769F" w:rsidRPr="00D50E91" w:rsidRDefault="00C9769F" w:rsidP="00C9769F">
      <w:pPr>
        <w:jc w:val="both"/>
      </w:pPr>
      <w:r w:rsidRPr="00D50E91">
        <w:t>(2) Az (1) bekezdésben meghatározott eseteken kívül a villámcsapások hatásaival szembeni védelmet a meglévő építmény nem norma szerinti villámvédelmével is lehet biztosítani.</w:t>
      </w:r>
    </w:p>
    <w:p w:rsidR="00C9769F" w:rsidRPr="00D50E91" w:rsidRDefault="00C9769F" w:rsidP="00C9769F">
      <w:pPr>
        <w:jc w:val="both"/>
      </w:pPr>
    </w:p>
    <w:p w:rsidR="00C9769F" w:rsidRPr="00D50E91" w:rsidRDefault="00C9769F" w:rsidP="00C9769F">
      <w:pPr>
        <w:jc w:val="both"/>
      </w:pPr>
      <w:r w:rsidRPr="00D50E91">
        <w:t>(3) A meglévő építmény, nem norma szerinti villámvédelmének meg kell felelnie a villámvédelem létesítésekor, az utolsó felülvizsgálatakor vagy a kivitelezéskor érvényes műszaki követelménynek.”</w:t>
      </w:r>
    </w:p>
    <w:p w:rsidR="00C9769F" w:rsidRPr="00D50E91" w:rsidRDefault="00C9769F" w:rsidP="00C9769F">
      <w:pPr>
        <w:jc w:val="both"/>
      </w:pPr>
    </w:p>
    <w:p w:rsidR="00C9769F" w:rsidRPr="00D50E91" w:rsidRDefault="00C9769F" w:rsidP="00C9769F">
      <w:pPr>
        <w:keepNext/>
        <w:numPr>
          <w:ilvl w:val="0"/>
          <w:numId w:val="2"/>
        </w:numPr>
        <w:spacing w:line="276" w:lineRule="auto"/>
        <w:ind w:left="0" w:firstLine="0"/>
        <w:jc w:val="center"/>
        <w:outlineLvl w:val="1"/>
        <w:rPr>
          <w:b/>
          <w:bCs/>
        </w:rPr>
      </w:pPr>
      <w:r w:rsidRPr="00D50E91">
        <w:rPr>
          <w:b/>
          <w:bCs/>
        </w:rPr>
        <w:t>§</w:t>
      </w:r>
    </w:p>
    <w:p w:rsidR="00C9769F" w:rsidRPr="00D50E91" w:rsidRDefault="00C9769F" w:rsidP="00C9769F">
      <w:pPr>
        <w:jc w:val="both"/>
      </w:pPr>
    </w:p>
    <w:p w:rsidR="00C9769F" w:rsidRPr="00D50E91" w:rsidRDefault="00C9769F" w:rsidP="00C9769F">
      <w:pPr>
        <w:jc w:val="both"/>
      </w:pPr>
      <w:r w:rsidRPr="00D50E91">
        <w:t>Az R. 142. § (1) bekezdése helyébe a következő rendelkezés lép:</w:t>
      </w:r>
    </w:p>
    <w:p w:rsidR="00C9769F" w:rsidRPr="00D50E91" w:rsidRDefault="00C9769F" w:rsidP="00C9769F">
      <w:pPr>
        <w:jc w:val="both"/>
      </w:pPr>
    </w:p>
    <w:p w:rsidR="00C9769F" w:rsidRPr="00D50E91" w:rsidRDefault="00C9769F" w:rsidP="00C9769F">
      <w:pPr>
        <w:jc w:val="both"/>
      </w:pPr>
      <w:r w:rsidRPr="00D50E91">
        <w:t xml:space="preserve">„Villámvédelmet kell kialakítani </w:t>
      </w:r>
    </w:p>
    <w:p w:rsidR="00C9769F" w:rsidRPr="00D50E91" w:rsidRDefault="00C9769F" w:rsidP="00C9769F">
      <w:pPr>
        <w:jc w:val="both"/>
      </w:pPr>
      <w:r w:rsidRPr="00D50E91">
        <w:t xml:space="preserve">a) a 12. melléklet 1. táblázatában nevesített rendeltetésű állandó építményeken, a táblázatban előírt minimálisan betartandó védelmi szintek létrehozásával, vagy </w:t>
      </w:r>
    </w:p>
    <w:p w:rsidR="00C9769F" w:rsidRPr="00D50E91" w:rsidRDefault="00C9769F" w:rsidP="00C9769F">
      <w:pPr>
        <w:jc w:val="both"/>
      </w:pPr>
      <w:r w:rsidRPr="00D50E91">
        <w:t>b) minden olyan állandó vagy ideiglenes építményen, amelyen a villámcsapások hatásaival szembeni védelem csak így biztosítható.”</w:t>
      </w:r>
    </w:p>
    <w:p w:rsidR="00C9769F" w:rsidRPr="00D50E91" w:rsidRDefault="00C9769F" w:rsidP="00C9769F">
      <w:pPr>
        <w:jc w:val="both"/>
      </w:pPr>
    </w:p>
    <w:p w:rsidR="00C9769F" w:rsidRPr="00D50E91" w:rsidRDefault="00C9769F" w:rsidP="00C9769F">
      <w:pPr>
        <w:keepNext/>
        <w:numPr>
          <w:ilvl w:val="0"/>
          <w:numId w:val="2"/>
        </w:numPr>
        <w:spacing w:line="276" w:lineRule="auto"/>
        <w:ind w:left="0" w:firstLine="0"/>
        <w:jc w:val="center"/>
        <w:outlineLvl w:val="1"/>
        <w:rPr>
          <w:b/>
          <w:bCs/>
        </w:rPr>
      </w:pPr>
      <w:r w:rsidRPr="00D50E91">
        <w:rPr>
          <w:b/>
          <w:bCs/>
        </w:rPr>
        <w:t>§</w:t>
      </w:r>
    </w:p>
    <w:p w:rsidR="00C9769F" w:rsidRPr="00D50E91" w:rsidRDefault="00C9769F" w:rsidP="00C9769F">
      <w:pPr>
        <w:jc w:val="both"/>
      </w:pPr>
    </w:p>
    <w:p w:rsidR="00C9769F" w:rsidRPr="00D50E91" w:rsidRDefault="00C9769F" w:rsidP="00C9769F">
      <w:pPr>
        <w:jc w:val="both"/>
      </w:pPr>
      <w:r w:rsidRPr="00D50E91">
        <w:t>Az R. 144. §</w:t>
      </w:r>
      <w:r w:rsidR="003528A8">
        <w:t>-</w:t>
      </w:r>
      <w:r w:rsidRPr="00D50E91">
        <w:t>a helyébe a következő rendelkezés lép:</w:t>
      </w:r>
    </w:p>
    <w:p w:rsidR="00C9769F" w:rsidRPr="00D50E91" w:rsidRDefault="00C9769F" w:rsidP="00C9769F">
      <w:pPr>
        <w:jc w:val="both"/>
      </w:pPr>
    </w:p>
    <w:p w:rsidR="00C9769F" w:rsidRPr="00D50E91" w:rsidRDefault="00C9769F" w:rsidP="00C9769F">
      <w:pPr>
        <w:jc w:val="both"/>
      </w:pPr>
      <w:r w:rsidRPr="00D50E91">
        <w:t>„144. § Nem kötelező villámvédelmet létesíteni</w:t>
      </w:r>
    </w:p>
    <w:p w:rsidR="00C9769F" w:rsidRPr="00D50E91" w:rsidRDefault="00C9769F" w:rsidP="00C9769F">
      <w:pPr>
        <w:jc w:val="both"/>
      </w:pPr>
      <w:r w:rsidRPr="00D50E91">
        <w:t xml:space="preserve">a) az épület terepszinti csatlakozásának legalsó és a tetőfedés legmagasabb pontja között legfeljebb 10 m magasságú </w:t>
      </w:r>
    </w:p>
    <w:p w:rsidR="00C9769F" w:rsidRPr="00D50E91" w:rsidRDefault="00C9769F" w:rsidP="00C9769F">
      <w:pPr>
        <w:jc w:val="both"/>
      </w:pPr>
      <w:r w:rsidRPr="00D50E91">
        <w:t xml:space="preserve">aa) egy lakóegységet vagy csak egymás mellett elhelyezett lakóegységeket tartalmazó lakóépületen, </w:t>
      </w:r>
    </w:p>
    <w:p w:rsidR="00C9769F" w:rsidRPr="00D50E91" w:rsidRDefault="00C9769F" w:rsidP="00C9769F">
      <w:pPr>
        <w:jc w:val="both"/>
      </w:pPr>
      <w:r w:rsidRPr="00D50E91">
        <w:t>ab) legfeljebb 200 m</w:t>
      </w:r>
      <w:r w:rsidRPr="00D50E91">
        <w:rPr>
          <w:vertAlign w:val="superscript"/>
        </w:rPr>
        <w:t>2</w:t>
      </w:r>
      <w:r w:rsidRPr="00D50E91">
        <w:t xml:space="preserve"> alapterületű – a 12. melléklet 1. táblázatában nem szereplő – közösségi épületen,</w:t>
      </w:r>
    </w:p>
    <w:p w:rsidR="00C9769F" w:rsidRPr="00D50E91" w:rsidRDefault="00C9769F" w:rsidP="00C9769F">
      <w:pPr>
        <w:jc w:val="both"/>
      </w:pPr>
      <w:r w:rsidRPr="00D50E91">
        <w:t>ac) legfeljebb 400 m</w:t>
      </w:r>
      <w:r w:rsidRPr="00D50E91">
        <w:rPr>
          <w:vertAlign w:val="superscript"/>
        </w:rPr>
        <w:t>2</w:t>
      </w:r>
      <w:r w:rsidRPr="00D50E91">
        <w:t xml:space="preserve"> alapterületű, egymás felett elhelyezett lakóegységeket tartalmazó lakóépületben, ha a tető anyaga A1</w:t>
      </w:r>
      <w:r w:rsidR="003528A8">
        <w:t>-</w:t>
      </w:r>
      <w:r w:rsidRPr="00D50E91">
        <w:t>A2 tűzvédelmi osztályba tartozik,</w:t>
      </w:r>
    </w:p>
    <w:p w:rsidR="00C9769F" w:rsidRPr="00D50E91" w:rsidRDefault="00C9769F" w:rsidP="00C9769F">
      <w:pPr>
        <w:jc w:val="both"/>
      </w:pPr>
      <w:r w:rsidRPr="00D50E91">
        <w:t>b) olyan műtárgyakon, amelyek esetében az emberélet elvesztésének villámvédelmi kockázata az építmény kialakításából, rendeltetéséből következően hasonló ahhoz, mint amekkora kockázatnak a személyek a természetes környezetben is ki vannak téve,</w:t>
      </w:r>
    </w:p>
    <w:p w:rsidR="00C9769F" w:rsidRPr="00D50E91" w:rsidRDefault="00C9769F" w:rsidP="00C9769F">
      <w:pPr>
        <w:jc w:val="both"/>
      </w:pPr>
      <w:r w:rsidRPr="00D50E91">
        <w:t xml:space="preserve">c) a nyomvonalas műszaki létesítményeken, kivéve </w:t>
      </w:r>
    </w:p>
    <w:p w:rsidR="00C9769F" w:rsidRPr="00D50E91" w:rsidRDefault="00C9769F" w:rsidP="00C9769F">
      <w:pPr>
        <w:jc w:val="both"/>
      </w:pPr>
      <w:r w:rsidRPr="00D50E91">
        <w:t>ca) a felszín feletti nagynyomású, illetve fokozottan tűz</w:t>
      </w:r>
      <w:r w:rsidR="003528A8">
        <w:t>-</w:t>
      </w:r>
      <w:r w:rsidRPr="00D50E91">
        <w:t xml:space="preserve"> vagy robbanásveszélyes osztályba tartozó anyagot szállító, elosztó csővezetékek, </w:t>
      </w:r>
    </w:p>
    <w:p w:rsidR="00C9769F" w:rsidRPr="00D50E91" w:rsidRDefault="00C9769F" w:rsidP="00C9769F">
      <w:pPr>
        <w:jc w:val="both"/>
      </w:pPr>
      <w:r w:rsidRPr="00D50E91">
        <w:t>cb) az olyan kötélpályás felvonók vagy egyéb nyomvonalas műszaki létesítmények, amelyek villámvédelmét önálló, kifejezetten az adott típusú nyomvonalas műszaki létesítményre vonatkozó szakmai műszaki előírás szabályozza.”</w:t>
      </w:r>
    </w:p>
    <w:p w:rsidR="00C9769F" w:rsidRPr="00D50E91" w:rsidRDefault="00C9769F" w:rsidP="00C9769F">
      <w:pPr>
        <w:jc w:val="both"/>
      </w:pPr>
    </w:p>
    <w:p w:rsidR="00C9769F" w:rsidRPr="00D50E91" w:rsidRDefault="00C9769F" w:rsidP="00C9769F">
      <w:pPr>
        <w:keepNext/>
        <w:numPr>
          <w:ilvl w:val="0"/>
          <w:numId w:val="2"/>
        </w:numPr>
        <w:spacing w:line="276" w:lineRule="auto"/>
        <w:ind w:left="0" w:firstLine="0"/>
        <w:jc w:val="center"/>
        <w:outlineLvl w:val="1"/>
        <w:rPr>
          <w:b/>
          <w:bCs/>
        </w:rPr>
      </w:pPr>
      <w:r w:rsidRPr="00D50E91">
        <w:rPr>
          <w:b/>
          <w:bCs/>
        </w:rPr>
        <w:lastRenderedPageBreak/>
        <w:t>§</w:t>
      </w:r>
    </w:p>
    <w:p w:rsidR="00C9769F" w:rsidRPr="00D50E91" w:rsidRDefault="00C9769F" w:rsidP="00C9769F">
      <w:pPr>
        <w:jc w:val="both"/>
      </w:pPr>
    </w:p>
    <w:p w:rsidR="00C9769F" w:rsidRPr="00D50E91" w:rsidRDefault="00C9769F" w:rsidP="00C9769F">
      <w:pPr>
        <w:jc w:val="both"/>
      </w:pPr>
      <w:r w:rsidRPr="00D50E91">
        <w:t>Az R. 145. §</w:t>
      </w:r>
      <w:r w:rsidR="003528A8">
        <w:t>-</w:t>
      </w:r>
      <w:r w:rsidRPr="00D50E91">
        <w:t>a helyébe a következő rendelkezés lép:</w:t>
      </w:r>
    </w:p>
    <w:p w:rsidR="00C9769F" w:rsidRPr="00D50E91" w:rsidRDefault="00C9769F" w:rsidP="00C9769F">
      <w:pPr>
        <w:jc w:val="both"/>
      </w:pPr>
    </w:p>
    <w:p w:rsidR="00C9769F" w:rsidRPr="00D50E91" w:rsidRDefault="00C9769F" w:rsidP="00C9769F">
      <w:pPr>
        <w:jc w:val="both"/>
      </w:pPr>
      <w:r w:rsidRPr="00D50E91">
        <w:t>„145. § (1) Ezen alcím hatálya nem terjed ki azon technológiai berendezések elektrosztatikus feltöltődés elleni védelmére, amelyek a robbanásveszélyes környezetben történő alkalmazásra tanúsítással rendelkeznek.</w:t>
      </w:r>
    </w:p>
    <w:p w:rsidR="00C9769F" w:rsidRPr="00D50E91" w:rsidRDefault="00C9769F" w:rsidP="00C9769F">
      <w:pPr>
        <w:jc w:val="both"/>
      </w:pPr>
    </w:p>
    <w:p w:rsidR="00C9769F" w:rsidRPr="00D50E91" w:rsidRDefault="00C9769F" w:rsidP="00C9769F">
      <w:pPr>
        <w:jc w:val="both"/>
      </w:pPr>
      <w:r w:rsidRPr="00D50E91">
        <w:t>(2) Azokon a területeken, szabadtereken, robbanásveszélyes zónákban, – beleértve az (1) bekezdésben meghatározott berendezések környezetét is – ahol robbanásveszélyes osztályba tartozó anyagokat állítanak elő, dolgoznak fel, használnak, tárolnak vagy forgalomba hoznak és az elektrosztatikus feltöltődés tüzet vagy robbanást okozhat, elektrosztatikus feltöltődés elleni védelmet kell biztosítani. A tervezés és kivitelezés során az elektrosztatikus gyújtás megakadályozása érdekében dokumentált védelmi intézkedéseket kell végrehajtani és fel kell mérni az elektrosztatikai kockázatot.</w:t>
      </w:r>
    </w:p>
    <w:p w:rsidR="00C9769F" w:rsidRPr="00D50E91" w:rsidRDefault="00C9769F" w:rsidP="00C9769F">
      <w:pPr>
        <w:jc w:val="both"/>
      </w:pPr>
    </w:p>
    <w:p w:rsidR="00C9769F" w:rsidRPr="00D50E91" w:rsidRDefault="00C9769F" w:rsidP="00C9769F">
      <w:pPr>
        <w:jc w:val="both"/>
      </w:pPr>
      <w:r w:rsidRPr="00D50E91">
        <w:t>(3) Nem szükséges az elektrosztatikai kockázat meghatározása, ha a létesítés során alkalmazott intézkedések nyomán a burkolatok levezetési ellenállásértéke nem haladja meg a 12. melléklet 2. táblázatban rögzített határértékeket. A határértékek a 2 és 22 zónára vonatkoznak, az 1 és 21 zóna esetén azokat 50 %</w:t>
      </w:r>
      <w:r w:rsidR="003528A8">
        <w:t>-</w:t>
      </w:r>
      <w:r w:rsidRPr="00D50E91">
        <w:t>kal kell csökkenteni.</w:t>
      </w:r>
    </w:p>
    <w:p w:rsidR="00C9769F" w:rsidRPr="00D50E91" w:rsidRDefault="00C9769F" w:rsidP="00C9769F">
      <w:pPr>
        <w:jc w:val="both"/>
      </w:pPr>
    </w:p>
    <w:p w:rsidR="00C9769F" w:rsidRPr="00D50E91" w:rsidRDefault="00C9769F" w:rsidP="00C9769F">
      <w:pPr>
        <w:jc w:val="both"/>
      </w:pPr>
      <w:r w:rsidRPr="00D50E91">
        <w:t>(4) A villamos tervezés és kivitelezés során biztosítani kell az elektrosztatikai földelések megfelelő biztonságú és minőségű kialakítását az antisztatikus burkolatok, az elektrosztatikai célú potenciálkiegyenlítések számára minden olyan helyen, ahol az elektrosztatikus kisülés nem engedhető meg.</w:t>
      </w:r>
    </w:p>
    <w:p w:rsidR="00C9769F" w:rsidRPr="00D50E91" w:rsidRDefault="00C9769F" w:rsidP="00C9769F">
      <w:pPr>
        <w:jc w:val="both"/>
      </w:pPr>
    </w:p>
    <w:p w:rsidR="00C9769F" w:rsidRPr="00D50E91" w:rsidRDefault="00C9769F" w:rsidP="00C9769F">
      <w:pPr>
        <w:jc w:val="both"/>
      </w:pPr>
      <w:r w:rsidRPr="00D50E91">
        <w:t>(5) Az elektrosztatikus feltöltődés elleni védelem megfelelő, ha a tervezést, létesítést, üzemeltetést és karbantartást a vonatkozó műszaki követelmény szerint vagy azzal legalább egyenértékű biztonságot nyújtó módon végzik és az elektrosztatikus feltöltődés elleni védelmet a felülvizsgálatot követően a felülvizsgáló megfelelőnek minősíti.”</w:t>
      </w:r>
    </w:p>
    <w:p w:rsidR="00C9769F" w:rsidRPr="00D50E91" w:rsidRDefault="00C9769F" w:rsidP="00C9769F">
      <w:pPr>
        <w:jc w:val="both"/>
      </w:pPr>
    </w:p>
    <w:p w:rsidR="00C9769F" w:rsidRPr="00D50E91" w:rsidRDefault="00C9769F" w:rsidP="00C9769F">
      <w:pPr>
        <w:keepNext/>
        <w:numPr>
          <w:ilvl w:val="0"/>
          <w:numId w:val="2"/>
        </w:numPr>
        <w:spacing w:line="276" w:lineRule="auto"/>
        <w:ind w:left="0" w:firstLine="0"/>
        <w:jc w:val="center"/>
        <w:outlineLvl w:val="1"/>
        <w:rPr>
          <w:b/>
          <w:bCs/>
        </w:rPr>
      </w:pPr>
      <w:r w:rsidRPr="00D50E91">
        <w:rPr>
          <w:b/>
          <w:bCs/>
        </w:rPr>
        <w:t>§</w:t>
      </w:r>
    </w:p>
    <w:p w:rsidR="00C9769F" w:rsidRPr="00D50E91" w:rsidRDefault="00C9769F" w:rsidP="00C9769F">
      <w:pPr>
        <w:jc w:val="both"/>
      </w:pPr>
    </w:p>
    <w:p w:rsidR="00C9769F" w:rsidRPr="00D50E91" w:rsidRDefault="00C9769F" w:rsidP="00C9769F">
      <w:pPr>
        <w:jc w:val="both"/>
      </w:pPr>
      <w:r w:rsidRPr="00D50E91">
        <w:t>Az R. 146. § (6) bekezdése helyébe a következő rendelkezés lép:</w:t>
      </w:r>
    </w:p>
    <w:p w:rsidR="00C9769F" w:rsidRPr="00D50E91" w:rsidRDefault="00C9769F" w:rsidP="00C9769F">
      <w:pPr>
        <w:jc w:val="both"/>
      </w:pPr>
    </w:p>
    <w:p w:rsidR="00C9769F" w:rsidRPr="00D50E91" w:rsidRDefault="00C9769F" w:rsidP="00C9769F">
      <w:pPr>
        <w:jc w:val="both"/>
      </w:pPr>
      <w:r w:rsidRPr="00D50E91">
        <w:t>„(6) A tűzvédelmi hatósággal egyeztetett kialakítású menekülési útirányt jelző rendszert kell létesíteni a magasan telepített biztonsági jelek kiegészítéseként, ahol</w:t>
      </w:r>
    </w:p>
    <w:p w:rsidR="00C9769F" w:rsidRPr="00D50E91" w:rsidRDefault="00C9769F" w:rsidP="00C9769F">
      <w:pPr>
        <w:jc w:val="both"/>
      </w:pPr>
      <w:r w:rsidRPr="00D50E91">
        <w:t xml:space="preserve">a) e rendelet, vagy </w:t>
      </w:r>
    </w:p>
    <w:p w:rsidR="00C9769F" w:rsidRPr="00D50E91" w:rsidRDefault="00C9769F" w:rsidP="00C9769F">
      <w:r w:rsidRPr="00D50E91">
        <w:t>b) a tűzvédelmi hatóság a menekülés biztosítása, a füstfejlődés jellemzői alapján</w:t>
      </w:r>
    </w:p>
    <w:p w:rsidR="00C9769F" w:rsidRPr="00D50E91" w:rsidRDefault="00C9769F" w:rsidP="00C9769F">
      <w:pPr>
        <w:jc w:val="both"/>
      </w:pPr>
      <w:r w:rsidRPr="00D50E91">
        <w:t>előírja.</w:t>
      </w:r>
    </w:p>
    <w:p w:rsidR="00C9769F" w:rsidRPr="00D50E91" w:rsidRDefault="00C9769F" w:rsidP="00C9769F">
      <w:pPr>
        <w:jc w:val="both"/>
      </w:pPr>
    </w:p>
    <w:p w:rsidR="00C9769F" w:rsidRPr="00D50E91" w:rsidRDefault="00C9769F" w:rsidP="00C9769F">
      <w:pPr>
        <w:keepNext/>
        <w:numPr>
          <w:ilvl w:val="0"/>
          <w:numId w:val="2"/>
        </w:numPr>
        <w:spacing w:line="276" w:lineRule="auto"/>
        <w:ind w:left="0" w:firstLine="0"/>
        <w:jc w:val="center"/>
        <w:outlineLvl w:val="1"/>
        <w:rPr>
          <w:b/>
          <w:bCs/>
        </w:rPr>
      </w:pPr>
      <w:r w:rsidRPr="00D50E91">
        <w:rPr>
          <w:b/>
          <w:bCs/>
        </w:rPr>
        <w:t>§</w:t>
      </w:r>
    </w:p>
    <w:p w:rsidR="00C9769F" w:rsidRPr="00D50E91" w:rsidRDefault="00C9769F" w:rsidP="00C9769F">
      <w:pPr>
        <w:jc w:val="both"/>
      </w:pPr>
    </w:p>
    <w:p w:rsidR="00C9769F" w:rsidRPr="00D50E91" w:rsidRDefault="00C9769F" w:rsidP="00C9769F">
      <w:pPr>
        <w:jc w:val="both"/>
      </w:pPr>
      <w:r w:rsidRPr="00D50E91">
        <w:t>Az R. 148. § (1) bekezdése a következő f)</w:t>
      </w:r>
      <w:r w:rsidR="003528A8">
        <w:t>-</w:t>
      </w:r>
      <w:r w:rsidRPr="00D50E91">
        <w:t>h) pontokkal egészül ki:</w:t>
      </w:r>
    </w:p>
    <w:p w:rsidR="00C9769F" w:rsidRPr="00D50E91" w:rsidRDefault="00C9769F" w:rsidP="00C9769F">
      <w:pPr>
        <w:jc w:val="both"/>
      </w:pPr>
    </w:p>
    <w:p w:rsidR="00C9769F" w:rsidRPr="00D50E91" w:rsidRDefault="00C9769F" w:rsidP="00C9769F">
      <w:pPr>
        <w:jc w:val="both"/>
        <w:rPr>
          <w:i/>
        </w:rPr>
      </w:pPr>
      <w:r w:rsidRPr="00D50E91">
        <w:rPr>
          <w:i/>
        </w:rPr>
        <w:t>[A 147. §</w:t>
      </w:r>
      <w:r w:rsidR="003528A8">
        <w:rPr>
          <w:i/>
        </w:rPr>
        <w:t>-</w:t>
      </w:r>
      <w:r w:rsidRPr="00D50E91">
        <w:rPr>
          <w:i/>
        </w:rPr>
        <w:t>ban foglaltaknak megfelelő tűzvédelmi jelekkel kell megjelölni az elhelyezett]</w:t>
      </w:r>
    </w:p>
    <w:p w:rsidR="00C9769F" w:rsidRPr="00D50E91" w:rsidRDefault="00C9769F" w:rsidP="00C9769F">
      <w:pPr>
        <w:jc w:val="both"/>
      </w:pPr>
      <w:r w:rsidRPr="00D50E91">
        <w:t>„f) állandó felügyelettel nem rendelkező beépített tűzjelző berendezés központját tartalmazó helyiség bejáratát,</w:t>
      </w:r>
    </w:p>
    <w:p w:rsidR="00C9769F" w:rsidRPr="00D50E91" w:rsidRDefault="00C9769F" w:rsidP="00C9769F">
      <w:pPr>
        <w:jc w:val="both"/>
      </w:pPr>
      <w:r w:rsidRPr="00D50E91">
        <w:t>g) hő</w:t>
      </w:r>
      <w:r w:rsidR="003528A8">
        <w:t>-</w:t>
      </w:r>
      <w:r w:rsidRPr="00D50E91">
        <w:t xml:space="preserve"> és füstelvezető rendszer kézi működtető szerkezetét, és</w:t>
      </w:r>
    </w:p>
    <w:p w:rsidR="00C9769F" w:rsidRPr="00D50E91" w:rsidRDefault="00C9769F" w:rsidP="00C9769F">
      <w:pPr>
        <w:jc w:val="both"/>
      </w:pPr>
      <w:r w:rsidRPr="00D50E91">
        <w:lastRenderedPageBreak/>
        <w:t>h) beléptető rendszer vésznyitó szerkezetét.”</w:t>
      </w:r>
    </w:p>
    <w:p w:rsidR="00C9769F" w:rsidRPr="00D50E91" w:rsidRDefault="00C9769F" w:rsidP="00C9769F">
      <w:pPr>
        <w:jc w:val="both"/>
      </w:pPr>
    </w:p>
    <w:p w:rsidR="00C9769F" w:rsidRPr="00D50E91" w:rsidRDefault="00C9769F" w:rsidP="00C9769F">
      <w:pPr>
        <w:keepNext/>
        <w:numPr>
          <w:ilvl w:val="0"/>
          <w:numId w:val="2"/>
        </w:numPr>
        <w:spacing w:line="276" w:lineRule="auto"/>
        <w:ind w:left="0" w:firstLine="0"/>
        <w:jc w:val="center"/>
        <w:outlineLvl w:val="1"/>
        <w:rPr>
          <w:b/>
          <w:bCs/>
        </w:rPr>
      </w:pPr>
      <w:r w:rsidRPr="00D50E91">
        <w:rPr>
          <w:b/>
          <w:bCs/>
        </w:rPr>
        <w:t>§</w:t>
      </w:r>
    </w:p>
    <w:p w:rsidR="00C9769F" w:rsidRPr="00D50E91" w:rsidRDefault="00C9769F" w:rsidP="00C9769F">
      <w:pPr>
        <w:jc w:val="both"/>
      </w:pPr>
    </w:p>
    <w:p w:rsidR="00C9769F" w:rsidRPr="00D50E91" w:rsidRDefault="00C9769F" w:rsidP="00C9769F">
      <w:pPr>
        <w:jc w:val="both"/>
      </w:pPr>
      <w:r w:rsidRPr="00D50E91">
        <w:t>Az R 156. § (1) bekezdése a következő d) ponttal egészül ki:</w:t>
      </w:r>
    </w:p>
    <w:p w:rsidR="00C9769F" w:rsidRPr="00D50E91" w:rsidRDefault="00C9769F" w:rsidP="00C9769F">
      <w:pPr>
        <w:jc w:val="both"/>
      </w:pPr>
    </w:p>
    <w:p w:rsidR="00C9769F" w:rsidRPr="00D50E91" w:rsidRDefault="00C9769F" w:rsidP="00C9769F">
      <w:pPr>
        <w:jc w:val="both"/>
        <w:rPr>
          <w:i/>
        </w:rPr>
      </w:pPr>
      <w:r w:rsidRPr="00D50E91">
        <w:rPr>
          <w:i/>
        </w:rPr>
        <w:t>[Az állandó felügyelet biztosítása mellett, a tűzjelzést automatikus átjelzéssel továbbítani kell az első fokú tűzvédelmi hatóság által meghatározott, a katasztrófavédelmi szerv által felügyelt helyre]</w:t>
      </w:r>
    </w:p>
    <w:p w:rsidR="00C9769F" w:rsidRPr="00D50E91" w:rsidRDefault="00C9769F" w:rsidP="00C9769F">
      <w:pPr>
        <w:jc w:val="both"/>
      </w:pPr>
      <w:r w:rsidRPr="00D50E91">
        <w:t>„d) menekülésben korlátozott személyek speciális intézménye”</w:t>
      </w:r>
    </w:p>
    <w:p w:rsidR="00C9769F" w:rsidRPr="00D50E91" w:rsidRDefault="00C9769F" w:rsidP="00C9769F">
      <w:pPr>
        <w:jc w:val="both"/>
        <w:rPr>
          <w:i/>
        </w:rPr>
      </w:pPr>
      <w:r w:rsidRPr="00D50E91">
        <w:rPr>
          <w:i/>
        </w:rPr>
        <w:t>[esetében.]</w:t>
      </w:r>
    </w:p>
    <w:p w:rsidR="00C9769F" w:rsidRPr="00D50E91" w:rsidRDefault="00C9769F" w:rsidP="00C9769F">
      <w:pPr>
        <w:jc w:val="both"/>
        <w:rPr>
          <w:i/>
        </w:rPr>
      </w:pPr>
    </w:p>
    <w:p w:rsidR="00C9769F" w:rsidRPr="00D50E91" w:rsidRDefault="00C9769F" w:rsidP="00C9769F">
      <w:pPr>
        <w:keepNext/>
        <w:numPr>
          <w:ilvl w:val="0"/>
          <w:numId w:val="2"/>
        </w:numPr>
        <w:spacing w:line="276" w:lineRule="auto"/>
        <w:ind w:left="0" w:firstLine="0"/>
        <w:jc w:val="center"/>
        <w:outlineLvl w:val="1"/>
        <w:rPr>
          <w:b/>
          <w:bCs/>
        </w:rPr>
      </w:pPr>
      <w:r w:rsidRPr="00D50E91">
        <w:rPr>
          <w:b/>
          <w:bCs/>
        </w:rPr>
        <w:t>§</w:t>
      </w:r>
    </w:p>
    <w:p w:rsidR="00C9769F" w:rsidRPr="00D50E91" w:rsidRDefault="00C9769F" w:rsidP="00C9769F">
      <w:pPr>
        <w:jc w:val="both"/>
      </w:pPr>
    </w:p>
    <w:p w:rsidR="00C9769F" w:rsidRPr="00D50E91" w:rsidRDefault="00C9769F" w:rsidP="00C9769F">
      <w:pPr>
        <w:jc w:val="both"/>
      </w:pPr>
      <w:r w:rsidRPr="00D50E91">
        <w:t>Az R. 158. § (4) bekezdés e) pont ea) alpontja helyébe a következő rendelkezés lép:</w:t>
      </w:r>
    </w:p>
    <w:p w:rsidR="00C9769F" w:rsidRPr="00D50E91" w:rsidRDefault="00C9769F" w:rsidP="00C9769F">
      <w:pPr>
        <w:jc w:val="both"/>
      </w:pPr>
    </w:p>
    <w:p w:rsidR="00C9769F" w:rsidRPr="00D50E91" w:rsidRDefault="00C9769F" w:rsidP="00C9769F">
      <w:pPr>
        <w:jc w:val="both"/>
        <w:rPr>
          <w:i/>
        </w:rPr>
      </w:pPr>
      <w:r w:rsidRPr="00D50E91">
        <w:rPr>
          <w:i/>
        </w:rPr>
        <w:t>[az automatikus tűz</w:t>
      </w:r>
      <w:r w:rsidR="003528A8">
        <w:rPr>
          <w:i/>
        </w:rPr>
        <w:t>-</w:t>
      </w:r>
      <w:r w:rsidRPr="00D50E91">
        <w:rPr>
          <w:i/>
        </w:rPr>
        <w:t xml:space="preserve"> és hibaátjelző berendezés tekintetében a fogadó állomással az eredményeket utólag egyeztetve]</w:t>
      </w:r>
    </w:p>
    <w:p w:rsidR="00C9769F" w:rsidRPr="00D50E91" w:rsidRDefault="00C9769F" w:rsidP="00C9769F">
      <w:pPr>
        <w:jc w:val="both"/>
      </w:pPr>
      <w:r w:rsidRPr="00D50E91">
        <w:t>„ea) arra, hogy a tervezett tűz</w:t>
      </w:r>
      <w:r w:rsidR="003528A8">
        <w:t>-</w:t>
      </w:r>
      <w:r w:rsidRPr="00D50E91">
        <w:t xml:space="preserve"> és hibajelzések a fogadó helyre átjutnak, az üzenetek megfelelőek és egyértelműek vagy”</w:t>
      </w:r>
    </w:p>
    <w:p w:rsidR="00C9769F" w:rsidRPr="00D50E91" w:rsidRDefault="00C9769F" w:rsidP="00C9769F">
      <w:pPr>
        <w:jc w:val="both"/>
      </w:pPr>
    </w:p>
    <w:p w:rsidR="00C9769F" w:rsidRPr="00D50E91" w:rsidRDefault="00C9769F" w:rsidP="00C9769F">
      <w:pPr>
        <w:keepNext/>
        <w:numPr>
          <w:ilvl w:val="0"/>
          <w:numId w:val="2"/>
        </w:numPr>
        <w:spacing w:line="276" w:lineRule="auto"/>
        <w:ind w:left="0" w:firstLine="0"/>
        <w:jc w:val="center"/>
        <w:outlineLvl w:val="1"/>
        <w:rPr>
          <w:b/>
          <w:bCs/>
        </w:rPr>
      </w:pPr>
      <w:r w:rsidRPr="00D50E91">
        <w:rPr>
          <w:b/>
          <w:bCs/>
        </w:rPr>
        <w:t>§</w:t>
      </w:r>
    </w:p>
    <w:p w:rsidR="00C9769F" w:rsidRPr="00D50E91" w:rsidRDefault="00C9769F" w:rsidP="00C9769F">
      <w:pPr>
        <w:jc w:val="both"/>
      </w:pPr>
    </w:p>
    <w:p w:rsidR="00C9769F" w:rsidRPr="00D50E91" w:rsidRDefault="00C9769F" w:rsidP="00C9769F">
      <w:pPr>
        <w:jc w:val="both"/>
      </w:pPr>
      <w:r w:rsidRPr="00D50E91">
        <w:t xml:space="preserve">Az R </w:t>
      </w:r>
      <w:r w:rsidR="0033648D">
        <w:t>161</w:t>
      </w:r>
      <w:r w:rsidRPr="00D50E91">
        <w:t>. §</w:t>
      </w:r>
      <w:r w:rsidR="003528A8">
        <w:t>-</w:t>
      </w:r>
      <w:r w:rsidR="0033648D">
        <w:t>a helyébe a következő rendelkezés lép</w:t>
      </w:r>
      <w:r w:rsidRPr="00D50E91">
        <w:t>:</w:t>
      </w:r>
    </w:p>
    <w:p w:rsidR="00C9769F" w:rsidRPr="00D50E91" w:rsidRDefault="00C9769F" w:rsidP="00C9769F">
      <w:pPr>
        <w:jc w:val="both"/>
      </w:pPr>
    </w:p>
    <w:p w:rsidR="00C9769F" w:rsidRPr="00D50E91" w:rsidRDefault="00C9769F" w:rsidP="00C9769F">
      <w:pPr>
        <w:jc w:val="both"/>
      </w:pPr>
      <w:r w:rsidRPr="00D50E91">
        <w:t>„</w:t>
      </w:r>
      <w:r w:rsidR="0033648D">
        <w:t>161.</w:t>
      </w:r>
      <w:r w:rsidRPr="00D50E91">
        <w:t xml:space="preserve"> § (1) A beépített tűzjelző berendezés:</w:t>
      </w:r>
    </w:p>
    <w:p w:rsidR="00C9769F" w:rsidRPr="00D50E91" w:rsidRDefault="00C9769F" w:rsidP="00C9769F">
      <w:pPr>
        <w:jc w:val="both"/>
      </w:pPr>
      <w:r w:rsidRPr="00D50E91">
        <w:t>a) a tűz korai szakaszában jelezzen,</w:t>
      </w:r>
    </w:p>
    <w:p w:rsidR="00C9769F" w:rsidRPr="00D50E91" w:rsidRDefault="00C9769F" w:rsidP="00C9769F">
      <w:pPr>
        <w:jc w:val="both"/>
      </w:pPr>
      <w:r w:rsidRPr="00D50E91">
        <w:t>b) a jelzést megbízhatóan továbbítsa, és késedelem nélkül, mindenki által érzékelhetően, egyértelmű, folyamatos, figyelemfelhívó tűzriasztás formájában jelenítse meg,</w:t>
      </w:r>
    </w:p>
    <w:p w:rsidR="00C9769F" w:rsidRPr="00D50E91" w:rsidRDefault="00C9769F" w:rsidP="00C9769F">
      <w:pPr>
        <w:jc w:val="both"/>
      </w:pPr>
      <w:r w:rsidRPr="00D50E91">
        <w:t>c) legyen érzéketlen mindazokra a behatásokra, amelyekre nem szabad jeleznie,</w:t>
      </w:r>
    </w:p>
    <w:p w:rsidR="00C9769F" w:rsidRPr="00D50E91" w:rsidRDefault="00C9769F" w:rsidP="00C9769F">
      <w:pPr>
        <w:jc w:val="both"/>
      </w:pPr>
      <w:r w:rsidRPr="00D50E91">
        <w:t>d) szükség esetén végezze el a kiürítést segítő, a tűz terjedését gátló, valamint a tűz oltását biztosító berendezések, eszközök vezérlését, és</w:t>
      </w:r>
    </w:p>
    <w:p w:rsidR="00C9769F" w:rsidRPr="00D50E91" w:rsidRDefault="00C9769F" w:rsidP="00C9769F">
      <w:pPr>
        <w:jc w:val="both"/>
      </w:pPr>
      <w:r w:rsidRPr="00D50E91">
        <w:t>e) a lehető legrövidebb időn belül és egyértelműen jelezze a berendezés meghibásodását, működési zavarát.</w:t>
      </w:r>
    </w:p>
    <w:p w:rsidR="00C9769F" w:rsidRPr="00D50E91" w:rsidRDefault="00C9769F" w:rsidP="00C9769F">
      <w:pPr>
        <w:jc w:val="both"/>
      </w:pPr>
    </w:p>
    <w:p w:rsidR="00C9769F" w:rsidRPr="00D50E91" w:rsidRDefault="00C9769F" w:rsidP="00C9769F">
      <w:pPr>
        <w:jc w:val="both"/>
      </w:pPr>
      <w:r w:rsidRPr="00D50E91">
        <w:t xml:space="preserve">(2) A beépített tűzjelző berendezés részegységeit úgy kell elhelyezni, hogy </w:t>
      </w:r>
    </w:p>
    <w:p w:rsidR="00C9769F" w:rsidRPr="00D50E91" w:rsidRDefault="00C9769F" w:rsidP="00C9769F">
      <w:pPr>
        <w:jc w:val="both"/>
      </w:pPr>
      <w:r w:rsidRPr="00D50E91">
        <w:t>a) a távkezelő, távkijelző egység, annak hiányában a tűzjelző központ a kezelőszemélyzet és a tűzoltóság számára könnyen elérhető legyen,</w:t>
      </w:r>
    </w:p>
    <w:p w:rsidR="00C9769F" w:rsidRPr="00D50E91" w:rsidRDefault="00C9769F" w:rsidP="00C9769F">
      <w:pPr>
        <w:jc w:val="both"/>
      </w:pPr>
      <w:r w:rsidRPr="00D50E91">
        <w:t>b) az automatikus érzékelőket a felügyelt tűzjellemzők jelentősebb hígulás, csillapítás vagy késedelem nélkül elérjék,</w:t>
      </w:r>
    </w:p>
    <w:p w:rsidR="00C9769F" w:rsidRPr="00D50E91" w:rsidRDefault="00C9769F" w:rsidP="00C9769F">
      <w:pPr>
        <w:jc w:val="both"/>
      </w:pPr>
      <w:r w:rsidRPr="00D50E91">
        <w:t>c) a kézi jelzésadók észlelhetőek, felismerhetőek, az ott tartózkodó személyek által könnyen elérhetőek, a kiürítési útvonalak és a kijáratok közelében működtethetőek legyenek,</w:t>
      </w:r>
    </w:p>
    <w:p w:rsidR="00C9769F" w:rsidRPr="00D50E91" w:rsidRDefault="00C9769F" w:rsidP="00C9769F">
      <w:pPr>
        <w:jc w:val="both"/>
      </w:pPr>
      <w:r w:rsidRPr="00D50E91">
        <w:t xml:space="preserve">d) a tűzriasztást megjelenítő részegységek jelzése az ott tartózkodó személyek által észlelhető, más jelzésektől egyértelműen elkülöníthető legyen, figyelembe véve a személyek éberségét és a környezet más hangforrásait is, </w:t>
      </w:r>
    </w:p>
    <w:p w:rsidR="00C9769F" w:rsidRPr="00D50E91" w:rsidRDefault="00C9769F" w:rsidP="00C9769F">
      <w:pPr>
        <w:jc w:val="both"/>
      </w:pPr>
      <w:r w:rsidRPr="00D50E91">
        <w:t>e) a részegységek a szükséges mértékben hozzáférhetőek legyenek, felülvizsgálatuk, karbantartásuk, javításuk lehetséges legyen.</w:t>
      </w:r>
    </w:p>
    <w:p w:rsidR="00C9769F" w:rsidRPr="00D50E91" w:rsidRDefault="00C9769F" w:rsidP="00C9769F">
      <w:pPr>
        <w:jc w:val="both"/>
      </w:pPr>
      <w:r w:rsidRPr="00D50E91">
        <w:t>(3) Az automatikus érzékelőket, kézi jelzésadókat, hangjelzőket, fényjelzőket, vezetékágakat, elosztókat azonosító jelöléssel kell ellátni.”</w:t>
      </w:r>
    </w:p>
    <w:p w:rsidR="00C9769F" w:rsidRPr="00D50E91" w:rsidRDefault="00C9769F" w:rsidP="00C9769F">
      <w:pPr>
        <w:jc w:val="both"/>
      </w:pPr>
    </w:p>
    <w:p w:rsidR="00C9769F" w:rsidRPr="00D50E91" w:rsidRDefault="00C9769F" w:rsidP="00C9769F">
      <w:pPr>
        <w:keepNext/>
        <w:numPr>
          <w:ilvl w:val="0"/>
          <w:numId w:val="2"/>
        </w:numPr>
        <w:spacing w:line="276" w:lineRule="auto"/>
        <w:ind w:left="0" w:firstLine="0"/>
        <w:jc w:val="center"/>
        <w:outlineLvl w:val="1"/>
        <w:rPr>
          <w:b/>
          <w:bCs/>
        </w:rPr>
      </w:pPr>
      <w:r w:rsidRPr="00D50E91">
        <w:rPr>
          <w:b/>
          <w:bCs/>
        </w:rPr>
        <w:lastRenderedPageBreak/>
        <w:t>§</w:t>
      </w:r>
    </w:p>
    <w:p w:rsidR="00C9769F" w:rsidRPr="00D50E91" w:rsidRDefault="00C9769F" w:rsidP="00C9769F">
      <w:pPr>
        <w:jc w:val="both"/>
      </w:pPr>
    </w:p>
    <w:p w:rsidR="00C9769F" w:rsidRPr="00D50E91" w:rsidRDefault="00C9769F" w:rsidP="00C9769F">
      <w:pPr>
        <w:jc w:val="both"/>
      </w:pPr>
      <w:r w:rsidRPr="00D50E91">
        <w:t xml:space="preserve">Az R. </w:t>
      </w:r>
      <w:r w:rsidR="0033648D">
        <w:t xml:space="preserve">a következő </w:t>
      </w:r>
      <w:r w:rsidRPr="00D50E91">
        <w:t>161</w:t>
      </w:r>
      <w:r w:rsidR="0033648D">
        <w:t>/A</w:t>
      </w:r>
      <w:r w:rsidRPr="00D50E91">
        <w:t>. §</w:t>
      </w:r>
      <w:r w:rsidR="0033648D">
        <w:t>-sal egészül ki</w:t>
      </w:r>
      <w:r w:rsidRPr="00D50E91">
        <w:t>:</w:t>
      </w:r>
    </w:p>
    <w:p w:rsidR="00C9769F" w:rsidRPr="00D50E91" w:rsidRDefault="00C9769F" w:rsidP="00C9769F">
      <w:pPr>
        <w:jc w:val="both"/>
      </w:pPr>
    </w:p>
    <w:p w:rsidR="0033648D" w:rsidRDefault="00C9769F" w:rsidP="0033648D">
      <w:pPr>
        <w:jc w:val="both"/>
      </w:pPr>
      <w:r w:rsidRPr="00D50E91">
        <w:t>„</w:t>
      </w:r>
      <w:r w:rsidR="0033648D">
        <w:t>161</w:t>
      </w:r>
      <w:r w:rsidR="000728F6">
        <w:t>/A</w:t>
      </w:r>
      <w:r w:rsidR="0033648D">
        <w:t>. § (1) A részegységek elhelyezését és jelölését a gyártói utasításban foglaltak szerint kell elvégezni.</w:t>
      </w:r>
    </w:p>
    <w:p w:rsidR="0033648D" w:rsidRDefault="0033648D" w:rsidP="0033648D">
      <w:pPr>
        <w:jc w:val="both"/>
      </w:pPr>
      <w:r>
        <w:t>(2) A beépített tűzjelző berendezést úgy kell megtervezni, hogy a vezetékek vagy csatlakozások egyszeres és kétszeres hibáinak hatása korlátozott legyen.</w:t>
      </w:r>
    </w:p>
    <w:p w:rsidR="0033648D" w:rsidRDefault="0033648D" w:rsidP="0033648D">
      <w:pPr>
        <w:jc w:val="both"/>
      </w:pPr>
      <w:r>
        <w:t>(3) A vezetékrendszer nyomvonala, kialakítása tegye lehetővé fizikai sérülés, az elektromágneses zavarok és a tűz működést befolyásoló hatásainak korlátozását.</w:t>
      </w:r>
    </w:p>
    <w:p w:rsidR="0033648D" w:rsidRDefault="00C9769F" w:rsidP="00C9769F">
      <w:pPr>
        <w:jc w:val="both"/>
      </w:pPr>
      <w:r w:rsidRPr="00D50E91">
        <w:t xml:space="preserve">(4) A beépített tűzjelző berendezés tűzjelzéseinek </w:t>
      </w:r>
      <w:r w:rsidR="003528A8">
        <w:t>-</w:t>
      </w:r>
      <w:r w:rsidRPr="00D50E91">
        <w:t xml:space="preserve"> állandó felügyeleti helyen történő beazonosítása érdekében a grafikus megjelenítés alkalmazása kivételével </w:t>
      </w:r>
      <w:r w:rsidR="003528A8">
        <w:t>-</w:t>
      </w:r>
      <w:r w:rsidRPr="00D50E91">
        <w:t xml:space="preserve"> az érzékelők, kézi jelzésadók helyét szövegesen tartalmazó zónakimutatást kell készíteni és azt a tűzjelző központ és a távkezelő központok mellett is el kell helyezni, a távfelügyeleti központ kivételével.</w:t>
      </w:r>
    </w:p>
    <w:p w:rsidR="0033648D" w:rsidRDefault="0033648D" w:rsidP="0033648D">
      <w:pPr>
        <w:jc w:val="both"/>
      </w:pPr>
      <w:r>
        <w:t>(5) A beépített tűzjelző berendezés riasztást megjelenítő részegységeit (hangjelző, fényjelző, hangbemondás) a helyiségben, tűzszakaszban, épületben, építményben tartózkodók számára jól beazonosíthatóan kell elhelyezni, hogy más jelzésektől elkülöníthetően jelezzék a tűzriasztást.</w:t>
      </w:r>
    </w:p>
    <w:p w:rsidR="0033648D" w:rsidRDefault="0033648D" w:rsidP="0033648D">
      <w:pPr>
        <w:jc w:val="both"/>
      </w:pPr>
      <w:r>
        <w:t>(6) A (4) bekezdésben előírtakon túl, a helyszín beazonosíthatóságáról grafikus megjelenítéssel kell gondoskodni abban az esetben, ha</w:t>
      </w:r>
    </w:p>
    <w:p w:rsidR="0033648D" w:rsidRDefault="0033648D" w:rsidP="0033648D">
      <w:pPr>
        <w:jc w:val="both"/>
      </w:pPr>
      <w:r>
        <w:t>a) az épület tűzjelzővel védett alapterülete a 10 000 m2-t meghaladja vagy</w:t>
      </w:r>
    </w:p>
    <w:p w:rsidR="00C9769F" w:rsidRPr="00D50E91" w:rsidRDefault="0033648D" w:rsidP="0033648D">
      <w:pPr>
        <w:jc w:val="both"/>
      </w:pPr>
      <w:r>
        <w:t>b) az épületben létesített automatikus érzékelők és kézi jelzésadók száma összesen több mint 1 000.</w:t>
      </w:r>
      <w:r w:rsidR="00C9769F" w:rsidRPr="00D50E91">
        <w:t>”</w:t>
      </w:r>
    </w:p>
    <w:p w:rsidR="00C9769F" w:rsidRPr="00D50E91" w:rsidRDefault="00C9769F" w:rsidP="00C9769F">
      <w:pPr>
        <w:jc w:val="both"/>
      </w:pPr>
    </w:p>
    <w:p w:rsidR="00C9769F" w:rsidRPr="00D50E91" w:rsidRDefault="00C9769F" w:rsidP="00C9769F">
      <w:pPr>
        <w:keepNext/>
        <w:numPr>
          <w:ilvl w:val="0"/>
          <w:numId w:val="2"/>
        </w:numPr>
        <w:spacing w:line="276" w:lineRule="auto"/>
        <w:ind w:left="0" w:firstLine="0"/>
        <w:jc w:val="center"/>
        <w:outlineLvl w:val="1"/>
        <w:rPr>
          <w:b/>
          <w:bCs/>
        </w:rPr>
      </w:pPr>
      <w:r w:rsidRPr="00D50E91">
        <w:rPr>
          <w:b/>
          <w:bCs/>
        </w:rPr>
        <w:t>§</w:t>
      </w:r>
    </w:p>
    <w:p w:rsidR="00C9769F" w:rsidRPr="00D50E91" w:rsidRDefault="00C9769F" w:rsidP="00C9769F">
      <w:pPr>
        <w:jc w:val="both"/>
      </w:pPr>
    </w:p>
    <w:p w:rsidR="00C9769F" w:rsidRPr="00D50E91" w:rsidRDefault="00C9769F" w:rsidP="00C9769F">
      <w:pPr>
        <w:jc w:val="both"/>
      </w:pPr>
      <w:r w:rsidRPr="00D50E91">
        <w:t>Az R. 162. §</w:t>
      </w:r>
      <w:r w:rsidR="003528A8">
        <w:t>-</w:t>
      </w:r>
      <w:r w:rsidRPr="00D50E91">
        <w:t>a helyébe a következő rendelkezés lép:</w:t>
      </w:r>
    </w:p>
    <w:p w:rsidR="00C9769F" w:rsidRPr="00D50E91" w:rsidRDefault="00C9769F" w:rsidP="00C9769F">
      <w:pPr>
        <w:jc w:val="both"/>
      </w:pPr>
    </w:p>
    <w:p w:rsidR="00C9769F" w:rsidRPr="00D50E91" w:rsidRDefault="00C9769F" w:rsidP="00C9769F">
      <w:pPr>
        <w:jc w:val="both"/>
      </w:pPr>
      <w:r w:rsidRPr="00D50E91">
        <w:t>„162. § (1) A vezetékeknek</w:t>
      </w:r>
    </w:p>
    <w:p w:rsidR="00C9769F" w:rsidRPr="00D50E91" w:rsidRDefault="00C9769F" w:rsidP="00C9769F">
      <w:pPr>
        <w:jc w:val="both"/>
      </w:pPr>
      <w:r w:rsidRPr="00D50E91">
        <w:t>a) a tűzjelző központ és a hangjelzők, fényjelzők, kiürítési riasztást hangosító rendszer között,</w:t>
      </w:r>
    </w:p>
    <w:p w:rsidR="00C9769F" w:rsidRPr="00D50E91" w:rsidRDefault="00C9769F" w:rsidP="00C9769F">
      <w:pPr>
        <w:jc w:val="both"/>
      </w:pPr>
      <w:r w:rsidRPr="00D50E91">
        <w:t>b) a tűzjelző központ és bármely különálló tápegység között,</w:t>
      </w:r>
    </w:p>
    <w:p w:rsidR="00C9769F" w:rsidRPr="00D50E91" w:rsidRDefault="00C9769F" w:rsidP="00C9769F">
      <w:pPr>
        <w:jc w:val="both"/>
      </w:pPr>
      <w:r w:rsidRPr="00D50E91">
        <w:t>c) a tűzjelző központ és bármely távkijelző, távkezelő és kijelző egység között,</w:t>
      </w:r>
    </w:p>
    <w:p w:rsidR="00C9769F" w:rsidRPr="00D50E91" w:rsidRDefault="00C9769F" w:rsidP="00C9769F">
      <w:pPr>
        <w:jc w:val="both"/>
      </w:pPr>
      <w:r w:rsidRPr="00D50E91">
        <w:t>d) a tűzjelző központ és különálló részei között,</w:t>
      </w:r>
    </w:p>
    <w:p w:rsidR="00C9769F" w:rsidRPr="00D50E91" w:rsidRDefault="00C9769F" w:rsidP="00C9769F">
      <w:pPr>
        <w:jc w:val="both"/>
      </w:pPr>
      <w:r w:rsidRPr="00D50E91">
        <w:t>e) a tűzjelző központ és a vezérlések között,</w:t>
      </w:r>
    </w:p>
    <w:p w:rsidR="00C9769F" w:rsidRPr="00D50E91" w:rsidRDefault="00C9769F" w:rsidP="00C9769F">
      <w:pPr>
        <w:jc w:val="both"/>
      </w:pPr>
      <w:r w:rsidRPr="00D50E91">
        <w:t>f) a tűzjelző központ és a tűz</w:t>
      </w:r>
      <w:r w:rsidR="003528A8">
        <w:t>-</w:t>
      </w:r>
      <w:r w:rsidRPr="00D50E91">
        <w:t xml:space="preserve"> és hibaátjelző berendezés között,</w:t>
      </w:r>
    </w:p>
    <w:p w:rsidR="00C9769F" w:rsidRPr="00D50E91" w:rsidRDefault="00C9769F" w:rsidP="00C9769F">
      <w:pPr>
        <w:jc w:val="both"/>
      </w:pPr>
      <w:r w:rsidRPr="00D50E91">
        <w:t>g) azokon a kábelszakaszokon, ahol a visszatérő hurok mindkét iránya egyetlen véletlen esemény (tűz) hatására károsodhat,</w:t>
      </w:r>
    </w:p>
    <w:p w:rsidR="00C9769F" w:rsidRPr="00D50E91" w:rsidRDefault="00C9769F" w:rsidP="00C9769F">
      <w:pPr>
        <w:jc w:val="both"/>
      </w:pPr>
      <w:r w:rsidRPr="00D50E91">
        <w:t>legalább 30 percig ellen kell állniuk a tűznek vagy ilyen időtartamú védettséget kell számukra biztosítani.</w:t>
      </w:r>
    </w:p>
    <w:p w:rsidR="00C9769F" w:rsidRPr="00D50E91" w:rsidRDefault="00C9769F" w:rsidP="00C9769F">
      <w:pPr>
        <w:jc w:val="both"/>
      </w:pPr>
    </w:p>
    <w:p w:rsidR="00C9769F" w:rsidRPr="00D50E91" w:rsidRDefault="00C9769F" w:rsidP="00C9769F">
      <w:pPr>
        <w:jc w:val="both"/>
      </w:pPr>
      <w:r w:rsidRPr="00D50E91">
        <w:t>(2) A vezérlések vezetékei, a hangjelző, és a tűz</w:t>
      </w:r>
      <w:r w:rsidR="003528A8">
        <w:t>-</w:t>
      </w:r>
      <w:r w:rsidRPr="00D50E91">
        <w:t xml:space="preserve"> és hibaátjelző berendezés vezérlésének kivételével készülhetnek a tűznek nem ellenálló vagy védelem nélküli kábelekből, ha</w:t>
      </w:r>
    </w:p>
    <w:p w:rsidR="00C9769F" w:rsidRPr="00D50E91" w:rsidRDefault="00C9769F" w:rsidP="00C9769F">
      <w:pPr>
        <w:jc w:val="both"/>
      </w:pPr>
      <w:r w:rsidRPr="00D50E91">
        <w:t>a) valamennyi vezérlés késleltetés nélkül indítja a vezérelt eszközt és a vezérlési vezetékek füstérzékelővel védett tereken haladnak át, vagy</w:t>
      </w:r>
    </w:p>
    <w:p w:rsidR="00C9769F" w:rsidRPr="00D50E91" w:rsidRDefault="00C9769F" w:rsidP="00C9769F">
      <w:pPr>
        <w:jc w:val="both"/>
      </w:pPr>
      <w:r w:rsidRPr="00D50E91">
        <w:t>b) a vezérlőkábel sérülése kiváltja a szükséges vezérlést.</w:t>
      </w:r>
    </w:p>
    <w:p w:rsidR="00C9769F" w:rsidRPr="00D50E91" w:rsidRDefault="00C9769F" w:rsidP="00C9769F">
      <w:pPr>
        <w:jc w:val="both"/>
      </w:pPr>
    </w:p>
    <w:p w:rsidR="00C9769F" w:rsidRPr="00D50E91" w:rsidRDefault="00C9769F" w:rsidP="00C9769F">
      <w:pPr>
        <w:jc w:val="both"/>
      </w:pPr>
      <w:r w:rsidRPr="00D50E91">
        <w:t>(3) Hurokáramkörök tervezésekor ügyelni kell arra, hogy a hurok két ága egyetlen véletlen esemény hatására ne károsodjon. Ha ez a veszély fennáll, akkor ez ellen vagy mechanikai védelemmel, vagy az ágak, megfelelő elkülönítésével kell védekezni.</w:t>
      </w:r>
    </w:p>
    <w:p w:rsidR="00C9769F" w:rsidRPr="00D50E91" w:rsidRDefault="00C9769F" w:rsidP="00C9769F">
      <w:pPr>
        <w:jc w:val="both"/>
      </w:pPr>
    </w:p>
    <w:p w:rsidR="00C9769F" w:rsidRPr="00D50E91" w:rsidRDefault="00C9769F" w:rsidP="00C9769F">
      <w:pPr>
        <w:jc w:val="both"/>
      </w:pPr>
      <w:r w:rsidRPr="00D50E91">
        <w:t xml:space="preserve">(4) A hangjelző vezérlések vezetékei készülhetnek a tűznek nem ellenálló vagy védelem nélküli kábelekből a visszatérő (két oldalról táplált) hurokba illesztett izolátoros hangjelzők alkalmazása </w:t>
      </w:r>
      <w:r w:rsidRPr="00D50E91">
        <w:lastRenderedPageBreak/>
        <w:t>esetén, ha egyszeres hiba miatt a működésből nem esik ki egy hangjelzőnél több, és a megoldás alkalmas az áramkörben keletkező hiba (zárlat vagy szakadás) jelzésére.”</w:t>
      </w:r>
    </w:p>
    <w:p w:rsidR="00C9769F" w:rsidRPr="00D50E91" w:rsidRDefault="00C9769F" w:rsidP="00C9769F">
      <w:pPr>
        <w:jc w:val="both"/>
      </w:pPr>
    </w:p>
    <w:p w:rsidR="00C9769F" w:rsidRPr="00D50E91" w:rsidRDefault="00C9769F" w:rsidP="00C9769F">
      <w:pPr>
        <w:keepNext/>
        <w:numPr>
          <w:ilvl w:val="0"/>
          <w:numId w:val="2"/>
        </w:numPr>
        <w:spacing w:line="276" w:lineRule="auto"/>
        <w:ind w:left="0" w:firstLine="0"/>
        <w:jc w:val="center"/>
        <w:outlineLvl w:val="1"/>
        <w:rPr>
          <w:b/>
          <w:bCs/>
        </w:rPr>
      </w:pPr>
      <w:r w:rsidRPr="00D50E91">
        <w:rPr>
          <w:b/>
          <w:bCs/>
        </w:rPr>
        <w:t>§</w:t>
      </w:r>
    </w:p>
    <w:p w:rsidR="00C9769F" w:rsidRPr="00D50E91" w:rsidRDefault="00C9769F" w:rsidP="00C9769F">
      <w:pPr>
        <w:jc w:val="both"/>
      </w:pPr>
    </w:p>
    <w:p w:rsidR="00C9769F" w:rsidRPr="00D50E91" w:rsidRDefault="00C9769F" w:rsidP="00C9769F">
      <w:pPr>
        <w:jc w:val="both"/>
      </w:pPr>
      <w:r w:rsidRPr="00D50E91">
        <w:t>(1) Az R. 163. § (3) bekezdése helyébe a következő rendelkezés lép:</w:t>
      </w:r>
    </w:p>
    <w:p w:rsidR="00C9769F" w:rsidRPr="00D50E91" w:rsidRDefault="00C9769F" w:rsidP="00C9769F">
      <w:pPr>
        <w:jc w:val="both"/>
      </w:pPr>
    </w:p>
    <w:p w:rsidR="00C9769F" w:rsidRPr="00D50E91" w:rsidRDefault="00C9769F" w:rsidP="00C9769F">
      <w:pPr>
        <w:jc w:val="both"/>
      </w:pPr>
      <w:r w:rsidRPr="00D50E91">
        <w:t>„(3) Teljes körű védelmet kell biztosítani</w:t>
      </w:r>
    </w:p>
    <w:p w:rsidR="00C9769F" w:rsidRPr="00D50E91" w:rsidRDefault="00C9769F" w:rsidP="00C9769F">
      <w:pPr>
        <w:jc w:val="both"/>
      </w:pPr>
      <w:r w:rsidRPr="00D50E91">
        <w:t>a) a közösségi rendeltetés esetén, és</w:t>
      </w:r>
    </w:p>
    <w:p w:rsidR="00C9769F" w:rsidRPr="00D50E91" w:rsidRDefault="00C9769F" w:rsidP="00C9769F">
      <w:pPr>
        <w:jc w:val="both"/>
      </w:pPr>
      <w:r w:rsidRPr="00D50E91">
        <w:t>b) ahol azt a tűzvédelmi hatóság előírja.”</w:t>
      </w:r>
    </w:p>
    <w:p w:rsidR="00C9769F" w:rsidRPr="00D50E91" w:rsidRDefault="00C9769F" w:rsidP="00C9769F">
      <w:pPr>
        <w:jc w:val="both"/>
      </w:pPr>
    </w:p>
    <w:p w:rsidR="00C9769F" w:rsidRPr="00D50E91" w:rsidRDefault="00C9769F" w:rsidP="00C9769F">
      <w:pPr>
        <w:jc w:val="both"/>
      </w:pPr>
      <w:r w:rsidRPr="00D50E91">
        <w:t>(2) Az R. 163. §</w:t>
      </w:r>
      <w:r w:rsidR="003528A8">
        <w:t>-</w:t>
      </w:r>
      <w:r w:rsidRPr="00D50E91">
        <w:t>a a következő (4) bekezdéssel egészül ki:</w:t>
      </w:r>
    </w:p>
    <w:p w:rsidR="00C9769F" w:rsidRPr="00D50E91" w:rsidRDefault="00C9769F" w:rsidP="00C9769F">
      <w:pPr>
        <w:jc w:val="both"/>
      </w:pPr>
    </w:p>
    <w:p w:rsidR="00C9769F" w:rsidRPr="00D50E91" w:rsidRDefault="00C9769F" w:rsidP="00C9769F">
      <w:pPr>
        <w:jc w:val="both"/>
      </w:pPr>
      <w:r w:rsidRPr="00D50E91">
        <w:t>„(4) A tűzjelző berendezés telepítése szempontjából alacsony kockázatú területeken nem szükséges automatikus érzékelőket elhelyezni.”</w:t>
      </w:r>
    </w:p>
    <w:p w:rsidR="00C9769F" w:rsidRPr="00D50E91" w:rsidRDefault="00C9769F" w:rsidP="00C9769F">
      <w:pPr>
        <w:jc w:val="both"/>
      </w:pPr>
    </w:p>
    <w:p w:rsidR="00C9769F" w:rsidRPr="00D50E91" w:rsidRDefault="00C9769F" w:rsidP="00C9769F">
      <w:pPr>
        <w:keepNext/>
        <w:numPr>
          <w:ilvl w:val="0"/>
          <w:numId w:val="2"/>
        </w:numPr>
        <w:spacing w:line="276" w:lineRule="auto"/>
        <w:ind w:left="0" w:firstLine="0"/>
        <w:jc w:val="center"/>
        <w:outlineLvl w:val="1"/>
        <w:rPr>
          <w:b/>
          <w:bCs/>
        </w:rPr>
      </w:pPr>
      <w:r w:rsidRPr="00D50E91">
        <w:rPr>
          <w:b/>
          <w:bCs/>
        </w:rPr>
        <w:t>§</w:t>
      </w:r>
    </w:p>
    <w:p w:rsidR="00C9769F" w:rsidRPr="00D50E91" w:rsidRDefault="00C9769F" w:rsidP="00C9769F">
      <w:pPr>
        <w:jc w:val="both"/>
      </w:pPr>
    </w:p>
    <w:p w:rsidR="00C9769F" w:rsidRPr="00D50E91" w:rsidRDefault="00C9769F" w:rsidP="00C9769F">
      <w:pPr>
        <w:jc w:val="both"/>
      </w:pPr>
      <w:r w:rsidRPr="00D50E91">
        <w:t>Az R. 164. §</w:t>
      </w:r>
      <w:r w:rsidR="003528A8">
        <w:t>-</w:t>
      </w:r>
      <w:r w:rsidRPr="00D50E91">
        <w:t>a helyébe a következő rendelkezés lép:</w:t>
      </w:r>
    </w:p>
    <w:p w:rsidR="00C9769F" w:rsidRPr="00D50E91" w:rsidRDefault="00C9769F" w:rsidP="00C9769F">
      <w:pPr>
        <w:jc w:val="both"/>
      </w:pPr>
    </w:p>
    <w:p w:rsidR="00C9769F" w:rsidRPr="00D50E91" w:rsidRDefault="00C9769F" w:rsidP="00C9769F">
      <w:pPr>
        <w:jc w:val="both"/>
      </w:pPr>
      <w:r w:rsidRPr="00D50E91">
        <w:t>„164. § Címezhető érzékelőket kell alkalmazni, ha egy zóna 5 vagy több helyiség védelmét látja el és nem alkalmaznak fényjelző eszközöket (másodkijelzőket).”</w:t>
      </w:r>
    </w:p>
    <w:p w:rsidR="00C9769F" w:rsidRPr="00D50E91" w:rsidRDefault="00C9769F" w:rsidP="00C9769F">
      <w:pPr>
        <w:jc w:val="both"/>
      </w:pPr>
    </w:p>
    <w:p w:rsidR="00C9769F" w:rsidRPr="00D50E91" w:rsidRDefault="00C9769F" w:rsidP="00C9769F">
      <w:pPr>
        <w:keepNext/>
        <w:numPr>
          <w:ilvl w:val="0"/>
          <w:numId w:val="2"/>
        </w:numPr>
        <w:spacing w:line="276" w:lineRule="auto"/>
        <w:ind w:left="0" w:firstLine="0"/>
        <w:jc w:val="center"/>
        <w:outlineLvl w:val="1"/>
        <w:rPr>
          <w:b/>
          <w:bCs/>
        </w:rPr>
      </w:pPr>
      <w:r w:rsidRPr="00D50E91">
        <w:rPr>
          <w:b/>
          <w:bCs/>
        </w:rPr>
        <w:t>§</w:t>
      </w:r>
    </w:p>
    <w:p w:rsidR="00C9769F" w:rsidRPr="00D50E91" w:rsidRDefault="00C9769F" w:rsidP="00C9769F">
      <w:pPr>
        <w:jc w:val="both"/>
      </w:pPr>
    </w:p>
    <w:p w:rsidR="00C9769F" w:rsidRPr="00D50E91" w:rsidRDefault="00C9769F" w:rsidP="00C9769F">
      <w:pPr>
        <w:jc w:val="both"/>
      </w:pPr>
      <w:r w:rsidRPr="00D50E91">
        <w:t>Az R. 175. § (1) bekezdés a) pontja helyébe a következő rendelkezés lép:</w:t>
      </w:r>
    </w:p>
    <w:p w:rsidR="00C9769F" w:rsidRPr="00D50E91" w:rsidRDefault="00C9769F" w:rsidP="00C9769F">
      <w:pPr>
        <w:jc w:val="both"/>
      </w:pPr>
    </w:p>
    <w:p w:rsidR="00C9769F" w:rsidRPr="00D50E91" w:rsidRDefault="00C9769F" w:rsidP="00C9769F">
      <w:pPr>
        <w:jc w:val="both"/>
        <w:rPr>
          <w:i/>
        </w:rPr>
      </w:pPr>
      <w:r w:rsidRPr="00D50E91">
        <w:rPr>
          <w:i/>
        </w:rPr>
        <w:t>[A tárolható PB</w:t>
      </w:r>
      <w:r w:rsidR="003528A8">
        <w:rPr>
          <w:i/>
        </w:rPr>
        <w:t>-</w:t>
      </w:r>
      <w:r w:rsidRPr="00D50E91">
        <w:rPr>
          <w:i/>
        </w:rPr>
        <w:t>gáz mennyisége alapján a következő cseretelepek létesíthetők:]</w:t>
      </w:r>
    </w:p>
    <w:p w:rsidR="00C9769F" w:rsidRPr="00D50E91" w:rsidRDefault="00C9769F" w:rsidP="00C9769F">
      <w:pPr>
        <w:jc w:val="both"/>
      </w:pPr>
      <w:r w:rsidRPr="00D50E91">
        <w:t>„a) „1” kategória: „1a” és „1b” kategória, ahol az „1a” kategória legfeljebb 575 kg, és az „1b” kategória 576</w:t>
      </w:r>
      <w:r w:rsidR="003528A8">
        <w:t>-</w:t>
      </w:r>
      <w:r w:rsidRPr="00D50E91">
        <w:t>1150 kg, üzemanyagtöltő állomáson legfeljebb 1800 kg PB</w:t>
      </w:r>
      <w:r w:rsidR="003528A8">
        <w:t>-</w:t>
      </w:r>
      <w:r w:rsidRPr="00D50E91">
        <w:t>gáz,”</w:t>
      </w:r>
    </w:p>
    <w:p w:rsidR="00C9769F" w:rsidRPr="00D50E91" w:rsidRDefault="00C9769F" w:rsidP="00C9769F">
      <w:pPr>
        <w:jc w:val="both"/>
      </w:pPr>
    </w:p>
    <w:p w:rsidR="00C9769F" w:rsidRPr="00D50E91" w:rsidRDefault="00C9769F" w:rsidP="00C9769F">
      <w:pPr>
        <w:keepNext/>
        <w:numPr>
          <w:ilvl w:val="0"/>
          <w:numId w:val="2"/>
        </w:numPr>
        <w:spacing w:line="276" w:lineRule="auto"/>
        <w:ind w:left="0" w:firstLine="0"/>
        <w:jc w:val="center"/>
        <w:outlineLvl w:val="1"/>
        <w:rPr>
          <w:b/>
          <w:bCs/>
        </w:rPr>
      </w:pPr>
      <w:r w:rsidRPr="00D50E91">
        <w:rPr>
          <w:b/>
          <w:bCs/>
        </w:rPr>
        <w:t>§</w:t>
      </w:r>
    </w:p>
    <w:p w:rsidR="00C9769F" w:rsidRPr="00D50E91" w:rsidRDefault="00C9769F" w:rsidP="00C9769F">
      <w:pPr>
        <w:jc w:val="both"/>
      </w:pPr>
    </w:p>
    <w:p w:rsidR="00C9769F" w:rsidRPr="00D50E91" w:rsidRDefault="00C9769F" w:rsidP="00C9769F">
      <w:pPr>
        <w:jc w:val="both"/>
      </w:pPr>
      <w:r w:rsidRPr="00D50E91">
        <w:t>(1) Az R. 177. § (1) és (2) bekezdése helyébe a következő rendelkezések lépnek:</w:t>
      </w:r>
    </w:p>
    <w:p w:rsidR="00C9769F" w:rsidRPr="00D50E91" w:rsidRDefault="00C9769F" w:rsidP="00C9769F">
      <w:pPr>
        <w:jc w:val="both"/>
      </w:pPr>
    </w:p>
    <w:p w:rsidR="00C9769F" w:rsidRPr="00D50E91" w:rsidRDefault="00C9769F" w:rsidP="00C9769F">
      <w:pPr>
        <w:jc w:val="both"/>
      </w:pPr>
      <w:r w:rsidRPr="00D50E91">
        <w:t xml:space="preserve">„(1) Az üzemeltetőnek, tulajdonosnak, bérlőnek a használat, a tevékenység végzése során gondoskodnia kell arról, hogy </w:t>
      </w:r>
    </w:p>
    <w:p w:rsidR="00C9769F" w:rsidRPr="00D50E91" w:rsidRDefault="00C9769F" w:rsidP="00C9769F">
      <w:pPr>
        <w:jc w:val="both"/>
      </w:pPr>
      <w:r w:rsidRPr="00D50E91">
        <w:t>a) az építmény, építményrész létesítésekor hatályos előírások által elvárt biztonsági szintet a használat és az átalakítások, változtatások során fenntartsa,</w:t>
      </w:r>
    </w:p>
    <w:p w:rsidR="00C9769F" w:rsidRPr="00D50E91" w:rsidRDefault="00C9769F" w:rsidP="00C9769F">
      <w:pPr>
        <w:jc w:val="both"/>
      </w:pPr>
      <w:r w:rsidRPr="00D50E91">
        <w:t>b) a használati tűzvédelmi előírásokat betartsa,</w:t>
      </w:r>
    </w:p>
    <w:p w:rsidR="00C9769F" w:rsidRPr="00D50E91" w:rsidRDefault="00C9769F" w:rsidP="00C9769F">
      <w:pPr>
        <w:jc w:val="both"/>
      </w:pPr>
      <w:r w:rsidRPr="00D50E91">
        <w:t>c) tevékenységével tüzet, robbanást, robbanásveszélyt ne okozzon,</w:t>
      </w:r>
    </w:p>
    <w:p w:rsidR="00C9769F" w:rsidRPr="00D50E91" w:rsidRDefault="00C9769F" w:rsidP="00C9769F">
      <w:pPr>
        <w:jc w:val="both"/>
      </w:pPr>
      <w:r w:rsidRPr="00D50E91">
        <w:t>d) folyamatosan biztosítsa a tűz észlelésének, jelzésének, oltásának, a kiürítésnek, a tűzvédelmi berendezések, eszközök, felszerelések, tűzoltó</w:t>
      </w:r>
      <w:r w:rsidR="003528A8">
        <w:t>-</w:t>
      </w:r>
      <w:r w:rsidRPr="00D50E91">
        <w:t xml:space="preserve">technikai eszközök működésének, hozzáférhetőségének, észlelhetőségének jogszabály vagy hatóság által előírt feltételeit, </w:t>
      </w:r>
    </w:p>
    <w:p w:rsidR="00C9769F" w:rsidRPr="00D50E91" w:rsidRDefault="00C9769F" w:rsidP="00C9769F">
      <w:pPr>
        <w:jc w:val="both"/>
      </w:pPr>
      <w:r w:rsidRPr="00D50E91">
        <w:t>e) a tűzvédelmi célú dokumentumokat naprakész állapotban, hozzáférhető helyen tartsa,</w:t>
      </w:r>
    </w:p>
    <w:p w:rsidR="00C9769F" w:rsidRPr="00D50E91" w:rsidRDefault="00C9769F" w:rsidP="00C9769F">
      <w:pPr>
        <w:jc w:val="both"/>
      </w:pPr>
      <w:r w:rsidRPr="00D50E91">
        <w:t>f) a tűzvédelmi célú jelölések észlelhetőségét, egyértelműségét fenntartsa és</w:t>
      </w:r>
    </w:p>
    <w:p w:rsidR="00C9769F" w:rsidRPr="00D50E91" w:rsidRDefault="00C9769F" w:rsidP="00C9769F">
      <w:pPr>
        <w:jc w:val="both"/>
      </w:pPr>
      <w:r w:rsidRPr="00D50E91">
        <w:t>g) a robbanás elleni védelmet, az alkalmazott berendezések robbanásbiztos kialakítását és működőképességét  a robbanásveszélyes technológia teljes élettartama során fenntartsa.</w:t>
      </w:r>
    </w:p>
    <w:p w:rsidR="00C9769F" w:rsidRPr="00D50E91" w:rsidRDefault="00C9769F" w:rsidP="00C9769F">
      <w:pPr>
        <w:jc w:val="both"/>
      </w:pPr>
    </w:p>
    <w:p w:rsidR="00C9769F" w:rsidRPr="00D50E91" w:rsidRDefault="00C9769F" w:rsidP="00C9769F">
      <w:pPr>
        <w:jc w:val="both"/>
      </w:pPr>
      <w:r w:rsidRPr="00D50E91">
        <w:lastRenderedPageBreak/>
        <w:t>(2) Az építményt, építményrészt, a szabadteret csak a rendeltetésére vonatkozó tűzvédelmi követelményeknek megfelelően szabad használni.”</w:t>
      </w:r>
    </w:p>
    <w:p w:rsidR="00C9769F" w:rsidRPr="00D50E91" w:rsidRDefault="00C9769F" w:rsidP="00C9769F">
      <w:pPr>
        <w:jc w:val="both"/>
      </w:pPr>
    </w:p>
    <w:p w:rsidR="00C9769F" w:rsidRPr="00D50E91" w:rsidRDefault="00C9769F" w:rsidP="00C9769F">
      <w:pPr>
        <w:jc w:val="both"/>
      </w:pPr>
      <w:r w:rsidRPr="00D50E91">
        <w:t>(2) Az R. 177. § (5) bekezdése helyébe a következő rendelkezés lép:</w:t>
      </w:r>
    </w:p>
    <w:p w:rsidR="00C9769F" w:rsidRPr="00D50E91" w:rsidRDefault="00C9769F" w:rsidP="00C9769F">
      <w:pPr>
        <w:jc w:val="both"/>
      </w:pPr>
    </w:p>
    <w:p w:rsidR="00C9769F" w:rsidRPr="00D50E91" w:rsidRDefault="00C9769F" w:rsidP="00C9769F">
      <w:pPr>
        <w:jc w:val="both"/>
      </w:pPr>
      <w:r w:rsidRPr="00D50E91">
        <w:t>„(5) Tűztávolságon belül tárolási tevékenység nem végezhető, kivéve, ha a tárolt anyag mennyisége, minősége, elhelyezése nem növeli a tűz átterjedésének veszélyét. Ezen területet a hulladékoktól, száraz aljnövényzettől mentesen kell tartani.”</w:t>
      </w:r>
    </w:p>
    <w:p w:rsidR="00C9769F" w:rsidRPr="00D50E91" w:rsidRDefault="00C9769F" w:rsidP="00C9769F">
      <w:pPr>
        <w:jc w:val="both"/>
      </w:pPr>
    </w:p>
    <w:p w:rsidR="00C9769F" w:rsidRPr="00D50E91" w:rsidRDefault="00C9769F" w:rsidP="00C9769F">
      <w:pPr>
        <w:jc w:val="both"/>
      </w:pPr>
      <w:r w:rsidRPr="00D50E91">
        <w:t>(3) Az R. 177. §</w:t>
      </w:r>
      <w:r w:rsidR="003528A8">
        <w:t>-</w:t>
      </w:r>
      <w:r w:rsidRPr="00D50E91">
        <w:t>a a következő (8) bekezdéssel egészül ki:</w:t>
      </w:r>
    </w:p>
    <w:p w:rsidR="00C9769F" w:rsidRPr="00D50E91" w:rsidRDefault="00C9769F" w:rsidP="00C9769F">
      <w:pPr>
        <w:jc w:val="both"/>
      </w:pPr>
    </w:p>
    <w:p w:rsidR="00C9769F" w:rsidRPr="00D50E91" w:rsidRDefault="00C9769F" w:rsidP="00C9769F">
      <w:pPr>
        <w:jc w:val="both"/>
      </w:pPr>
      <w:r w:rsidRPr="00D50E91">
        <w:t>„(8) Robbanásveszélyes térben csak olyan készülék, eszköz, berendezés, erő</w:t>
      </w:r>
      <w:r w:rsidR="003528A8">
        <w:t>-</w:t>
      </w:r>
      <w:r w:rsidRPr="00D50E91">
        <w:t xml:space="preserve"> és munkagép helyezhető el és használható, amely az alkalmazási helyén a megállapított robbanásveszélyes zóna minőségének, valamint hőmérsékleti osztályának vagy mértékadó legmagasabb hőmérsékletének megfelel, és amit a robbanásvédelem szabályai szerint gyártottak, felülvizsgáltak, karbantartottak, javítottak.”</w:t>
      </w:r>
    </w:p>
    <w:p w:rsidR="00C9769F" w:rsidRPr="00D50E91" w:rsidRDefault="00C9769F" w:rsidP="00C9769F">
      <w:pPr>
        <w:jc w:val="both"/>
      </w:pPr>
    </w:p>
    <w:p w:rsidR="00C9769F" w:rsidRPr="00D50E91" w:rsidRDefault="00C9769F" w:rsidP="00C9769F">
      <w:pPr>
        <w:keepNext/>
        <w:numPr>
          <w:ilvl w:val="0"/>
          <w:numId w:val="2"/>
        </w:numPr>
        <w:spacing w:line="276" w:lineRule="auto"/>
        <w:ind w:left="0" w:firstLine="0"/>
        <w:jc w:val="center"/>
        <w:outlineLvl w:val="1"/>
        <w:rPr>
          <w:b/>
          <w:bCs/>
        </w:rPr>
      </w:pPr>
      <w:r w:rsidRPr="00D50E91">
        <w:rPr>
          <w:b/>
          <w:bCs/>
        </w:rPr>
        <w:t>§</w:t>
      </w:r>
    </w:p>
    <w:p w:rsidR="00C9769F" w:rsidRPr="00D50E91" w:rsidRDefault="00C9769F" w:rsidP="00C9769F">
      <w:pPr>
        <w:jc w:val="both"/>
      </w:pPr>
    </w:p>
    <w:p w:rsidR="00C9769F" w:rsidRPr="00D50E91" w:rsidRDefault="00C9769F" w:rsidP="00C9769F">
      <w:pPr>
        <w:jc w:val="both"/>
      </w:pPr>
      <w:r w:rsidRPr="00D50E91">
        <w:t>Az R. 179. § (7) bekezdése helyébe a következő rendelkezés lép:</w:t>
      </w:r>
    </w:p>
    <w:p w:rsidR="00C9769F" w:rsidRPr="00D50E91" w:rsidRDefault="00C9769F" w:rsidP="00C9769F">
      <w:pPr>
        <w:jc w:val="both"/>
      </w:pPr>
    </w:p>
    <w:p w:rsidR="00C9769F" w:rsidRPr="00D50E91" w:rsidRDefault="00C9769F" w:rsidP="00C9769F">
      <w:pPr>
        <w:jc w:val="both"/>
      </w:pPr>
      <w:r w:rsidRPr="00D50E91">
        <w:t>„(7) Az építményben, helyiségben és szabadtéren a villamos berendezés kapcsolójának, a közmű nyitó</w:t>
      </w:r>
      <w:r w:rsidR="003528A8">
        <w:t>-</w:t>
      </w:r>
      <w:r w:rsidRPr="00D50E91">
        <w:t xml:space="preserve"> és zárószerkezetének, a tűzjelző kézi jelzésadójának, a nyomásfokozó szivattyúnak, valamint a hő</w:t>
      </w:r>
      <w:r w:rsidR="003528A8">
        <w:t>-</w:t>
      </w:r>
      <w:r w:rsidRPr="00D50E91">
        <w:t xml:space="preserve"> és füstelvezető kezelőszerkezetének, nyílásainak, továbbá a tűzoltó vízforrások, fali tűzcsapok, tűzoltó készülékek, tűzoltó</w:t>
      </w:r>
      <w:r w:rsidR="003528A8">
        <w:t>-</w:t>
      </w:r>
      <w:r w:rsidRPr="00D50E91">
        <w:t>technikai termékek, felszerelések, berendezések hozzáférhetőségét, megközelíthetőségét állandóan biztosítani kell, azokat eltorlaszolni még átmenetileg sem szabad.”</w:t>
      </w:r>
    </w:p>
    <w:p w:rsidR="00C9769F" w:rsidRPr="00D50E91" w:rsidRDefault="00C9769F" w:rsidP="00C9769F">
      <w:pPr>
        <w:jc w:val="both"/>
      </w:pPr>
    </w:p>
    <w:p w:rsidR="00C9769F" w:rsidRPr="00D50E91" w:rsidRDefault="00C9769F" w:rsidP="00C9769F">
      <w:pPr>
        <w:keepNext/>
        <w:numPr>
          <w:ilvl w:val="0"/>
          <w:numId w:val="2"/>
        </w:numPr>
        <w:spacing w:line="276" w:lineRule="auto"/>
        <w:ind w:left="0" w:firstLine="0"/>
        <w:jc w:val="center"/>
        <w:outlineLvl w:val="1"/>
        <w:rPr>
          <w:b/>
          <w:bCs/>
        </w:rPr>
      </w:pPr>
      <w:r w:rsidRPr="00D50E91">
        <w:rPr>
          <w:b/>
          <w:bCs/>
        </w:rPr>
        <w:t>§</w:t>
      </w:r>
    </w:p>
    <w:p w:rsidR="00C9769F" w:rsidRPr="00D50E91" w:rsidRDefault="00C9769F" w:rsidP="00C9769F">
      <w:pPr>
        <w:jc w:val="both"/>
      </w:pPr>
    </w:p>
    <w:p w:rsidR="00C9769F" w:rsidRPr="00D50E91" w:rsidRDefault="00C9769F" w:rsidP="00C9769F">
      <w:pPr>
        <w:jc w:val="both"/>
      </w:pPr>
      <w:r w:rsidRPr="00D50E91">
        <w:t>(1) Az R. 180. § (2) bekezdése helyébe a következő rendelkezés lép:</w:t>
      </w:r>
    </w:p>
    <w:p w:rsidR="00C9769F" w:rsidRPr="00D50E91" w:rsidRDefault="00C9769F" w:rsidP="00C9769F">
      <w:pPr>
        <w:jc w:val="both"/>
      </w:pPr>
    </w:p>
    <w:p w:rsidR="00C9769F" w:rsidRPr="00D50E91" w:rsidRDefault="00C9769F" w:rsidP="00C9769F">
      <w:pPr>
        <w:jc w:val="both"/>
      </w:pPr>
      <w:r w:rsidRPr="00D50E91">
        <w:t xml:space="preserve">„(2) A helyiség </w:t>
      </w:r>
      <w:r w:rsidR="003528A8">
        <w:t>-</w:t>
      </w:r>
      <w:r w:rsidRPr="00D50E91">
        <w:t xml:space="preserve"> szükség szerint az építmény, létesítmény </w:t>
      </w:r>
      <w:r w:rsidR="003528A8">
        <w:t>-</w:t>
      </w:r>
      <w:r w:rsidRPr="00D50E91">
        <w:t xml:space="preserve"> bejáratánál és a helyiségben jól látható helyen a fokozottan tűz</w:t>
      </w:r>
      <w:r w:rsidR="003528A8">
        <w:t>-</w:t>
      </w:r>
      <w:r w:rsidRPr="00D50E91">
        <w:t xml:space="preserve"> vagy robbanásveszélyre, valamint a vonatkozó előírásokra figyelmeztető és tiltó rendelkezéseket tartalmazó biztonsági jelet kell elhelyezni.”</w:t>
      </w:r>
    </w:p>
    <w:p w:rsidR="00C9769F" w:rsidRPr="00D50E91" w:rsidRDefault="00C9769F" w:rsidP="00C9769F">
      <w:pPr>
        <w:jc w:val="both"/>
      </w:pPr>
    </w:p>
    <w:p w:rsidR="00C9769F" w:rsidRPr="00D50E91" w:rsidRDefault="00C9769F" w:rsidP="00C9769F">
      <w:pPr>
        <w:jc w:val="both"/>
      </w:pPr>
      <w:r w:rsidRPr="00D50E91">
        <w:t>(2) Az R. 180. § a következő (3)</w:t>
      </w:r>
      <w:r w:rsidR="003528A8">
        <w:t>-</w:t>
      </w:r>
      <w:r w:rsidRPr="00D50E91">
        <w:t>(5) bekezdéssel egészül ki:</w:t>
      </w:r>
    </w:p>
    <w:p w:rsidR="00C9769F" w:rsidRPr="00D50E91" w:rsidRDefault="00C9769F" w:rsidP="00C9769F">
      <w:pPr>
        <w:jc w:val="both"/>
      </w:pPr>
    </w:p>
    <w:p w:rsidR="00C9769F" w:rsidRPr="00D50E91" w:rsidRDefault="00C9769F" w:rsidP="00C9769F">
      <w:pPr>
        <w:jc w:val="both"/>
      </w:pPr>
      <w:r w:rsidRPr="00D50E91">
        <w:t>„(3)A közmű nyitó</w:t>
      </w:r>
      <w:r w:rsidR="003528A8">
        <w:t>-</w:t>
      </w:r>
      <w:r w:rsidRPr="00D50E91">
        <w:t xml:space="preserve"> és zárószerkezetét, valamint annak nyitott és zárt állapotát jól láthatóan meg kell jelölni. </w:t>
      </w:r>
    </w:p>
    <w:p w:rsidR="00C9769F" w:rsidRPr="00D50E91" w:rsidRDefault="00C9769F" w:rsidP="00C9769F">
      <w:pPr>
        <w:jc w:val="both"/>
      </w:pPr>
    </w:p>
    <w:p w:rsidR="00C9769F" w:rsidRPr="00D50E91" w:rsidRDefault="00C9769F" w:rsidP="00C9769F">
      <w:pPr>
        <w:jc w:val="both"/>
      </w:pPr>
      <w:r w:rsidRPr="00D50E91">
        <w:t xml:space="preserve">(4) A tűzoltó vízforrásokat a vonatkozó műszaki követelmény szerinti jelzőtáblával kell jelölni. </w:t>
      </w:r>
    </w:p>
    <w:p w:rsidR="00C9769F" w:rsidRPr="00D50E91" w:rsidRDefault="00C9769F" w:rsidP="00C9769F">
      <w:pPr>
        <w:jc w:val="both"/>
      </w:pPr>
    </w:p>
    <w:p w:rsidR="00C9769F" w:rsidRPr="00D50E91" w:rsidRDefault="00C9769F" w:rsidP="00C9769F">
      <w:pPr>
        <w:jc w:val="both"/>
      </w:pPr>
      <w:r w:rsidRPr="00D50E91">
        <w:t xml:space="preserve">(5) A mentésre szolgáló nyílászárók helyét </w:t>
      </w:r>
      <w:r w:rsidR="003528A8">
        <w:t>-</w:t>
      </w:r>
      <w:r w:rsidRPr="00D50E91">
        <w:t xml:space="preserve"> a lakóépületek, lakórendeltetésű épületrészek, lakások kivételével </w:t>
      </w:r>
      <w:r w:rsidR="003528A8">
        <w:t>-</w:t>
      </w:r>
      <w:r w:rsidRPr="00D50E91">
        <w:t xml:space="preserve"> a homlokzaton és az épületen belül a mentésre szolgáló nyílászárót tartalmazó helyiség, helyiségcsoport bejáratánál jól látható és maradandó módon kell jelölni.”</w:t>
      </w:r>
    </w:p>
    <w:p w:rsidR="00C9769F" w:rsidRPr="00D50E91" w:rsidRDefault="00C9769F" w:rsidP="00C9769F">
      <w:pPr>
        <w:jc w:val="both"/>
      </w:pPr>
    </w:p>
    <w:p w:rsidR="00C9769F" w:rsidRPr="00D50E91" w:rsidRDefault="00C9769F" w:rsidP="00C9769F">
      <w:pPr>
        <w:keepNext/>
        <w:numPr>
          <w:ilvl w:val="0"/>
          <w:numId w:val="2"/>
        </w:numPr>
        <w:spacing w:line="276" w:lineRule="auto"/>
        <w:ind w:left="0" w:firstLine="0"/>
        <w:jc w:val="center"/>
        <w:outlineLvl w:val="1"/>
        <w:rPr>
          <w:b/>
          <w:bCs/>
        </w:rPr>
      </w:pPr>
      <w:r w:rsidRPr="00D50E91">
        <w:rPr>
          <w:b/>
          <w:bCs/>
        </w:rPr>
        <w:t>§</w:t>
      </w:r>
    </w:p>
    <w:p w:rsidR="00C9769F" w:rsidRPr="00D50E91" w:rsidRDefault="00C9769F" w:rsidP="00C9769F">
      <w:pPr>
        <w:jc w:val="both"/>
      </w:pPr>
    </w:p>
    <w:p w:rsidR="00C9769F" w:rsidRPr="00D50E91" w:rsidRDefault="00C9769F" w:rsidP="00C9769F">
      <w:pPr>
        <w:jc w:val="both"/>
      </w:pPr>
      <w:r w:rsidRPr="00D50E91">
        <w:t>Az R. 92. alcím címe helyébe a következő alcím cím lép:</w:t>
      </w:r>
    </w:p>
    <w:p w:rsidR="00C9769F" w:rsidRPr="00D50E91" w:rsidRDefault="00C9769F" w:rsidP="00C9769F">
      <w:pPr>
        <w:jc w:val="both"/>
      </w:pPr>
    </w:p>
    <w:p w:rsidR="00C9769F" w:rsidRPr="00D50E91" w:rsidRDefault="00C9769F" w:rsidP="00C9769F">
      <w:pPr>
        <w:jc w:val="center"/>
      </w:pPr>
      <w:r w:rsidRPr="00D50E91">
        <w:t>„</w:t>
      </w:r>
      <w:r w:rsidRPr="00D50E91">
        <w:rPr>
          <w:b/>
        </w:rPr>
        <w:t>92. Dohányzás, nyílt láng, gyújtóforrás használata</w:t>
      </w:r>
      <w:r w:rsidRPr="00D50E91">
        <w:t>”</w:t>
      </w:r>
    </w:p>
    <w:p w:rsidR="00C9769F" w:rsidRPr="00D50E91" w:rsidRDefault="00C9769F" w:rsidP="00C9769F">
      <w:pPr>
        <w:jc w:val="both"/>
      </w:pPr>
    </w:p>
    <w:p w:rsidR="00C9769F" w:rsidRPr="00D50E91" w:rsidRDefault="00C9769F" w:rsidP="00C9769F">
      <w:pPr>
        <w:keepNext/>
        <w:numPr>
          <w:ilvl w:val="0"/>
          <w:numId w:val="2"/>
        </w:numPr>
        <w:spacing w:line="276" w:lineRule="auto"/>
        <w:ind w:left="0" w:firstLine="0"/>
        <w:jc w:val="center"/>
        <w:outlineLvl w:val="1"/>
        <w:rPr>
          <w:b/>
          <w:bCs/>
        </w:rPr>
      </w:pPr>
      <w:r w:rsidRPr="00D50E91">
        <w:rPr>
          <w:b/>
          <w:bCs/>
        </w:rPr>
        <w:t>§</w:t>
      </w:r>
    </w:p>
    <w:p w:rsidR="00C9769F" w:rsidRPr="00D50E91" w:rsidRDefault="00C9769F" w:rsidP="00C9769F">
      <w:pPr>
        <w:jc w:val="both"/>
      </w:pPr>
    </w:p>
    <w:p w:rsidR="00C9769F" w:rsidRPr="00D50E91" w:rsidRDefault="00C9769F" w:rsidP="00C9769F">
      <w:pPr>
        <w:jc w:val="both"/>
      </w:pPr>
      <w:r w:rsidRPr="00D50E91">
        <w:t>Az R. 187. § (2) bekezdése helyébe a következő rendelkezés lép:</w:t>
      </w:r>
    </w:p>
    <w:p w:rsidR="00C9769F" w:rsidRPr="00D50E91" w:rsidRDefault="00C9769F" w:rsidP="00C9769F">
      <w:pPr>
        <w:jc w:val="both"/>
      </w:pPr>
    </w:p>
    <w:p w:rsidR="00C9769F" w:rsidRPr="00D50E91" w:rsidRDefault="00C9769F" w:rsidP="00C9769F">
      <w:pPr>
        <w:jc w:val="both"/>
      </w:pPr>
      <w:r w:rsidRPr="00D50E91">
        <w:t>„(2) Dohányozni, nyílt lángot használni nem szabad olyan helyiségben, szabadtéren, ahol fokozottan tűz</w:t>
      </w:r>
      <w:r w:rsidR="003528A8">
        <w:t>-</w:t>
      </w:r>
      <w:r w:rsidRPr="00D50E91">
        <w:t xml:space="preserve"> vagy robbanásveszélyes osztályba tartozó anyagot előállítanak, tárolnak, feldolgoznak, használnak. A dohányzás és a nyílt láng használatának tilalmát biztonsági jellel kell jelölni.”</w:t>
      </w:r>
    </w:p>
    <w:p w:rsidR="00C9769F" w:rsidRPr="00D50E91" w:rsidRDefault="00C9769F" w:rsidP="00C9769F">
      <w:pPr>
        <w:jc w:val="both"/>
      </w:pPr>
    </w:p>
    <w:p w:rsidR="00C9769F" w:rsidRPr="00D50E91" w:rsidRDefault="00C9769F" w:rsidP="00C9769F">
      <w:pPr>
        <w:keepNext/>
        <w:numPr>
          <w:ilvl w:val="0"/>
          <w:numId w:val="2"/>
        </w:numPr>
        <w:spacing w:line="276" w:lineRule="auto"/>
        <w:ind w:left="0" w:firstLine="0"/>
        <w:jc w:val="center"/>
        <w:outlineLvl w:val="1"/>
        <w:rPr>
          <w:b/>
          <w:bCs/>
        </w:rPr>
      </w:pPr>
      <w:r w:rsidRPr="00D50E91">
        <w:rPr>
          <w:b/>
          <w:bCs/>
        </w:rPr>
        <w:t>§</w:t>
      </w:r>
    </w:p>
    <w:p w:rsidR="00C9769F" w:rsidRPr="00D50E91" w:rsidRDefault="00C9769F" w:rsidP="00C9769F">
      <w:pPr>
        <w:jc w:val="both"/>
      </w:pPr>
    </w:p>
    <w:p w:rsidR="00C9769F" w:rsidRPr="00D50E91" w:rsidRDefault="00C9769F" w:rsidP="00C9769F">
      <w:pPr>
        <w:jc w:val="both"/>
      </w:pPr>
      <w:r w:rsidRPr="00D50E91">
        <w:t>Az R. 96. alcím címe helyébe a következő alcím cím lép:</w:t>
      </w:r>
    </w:p>
    <w:p w:rsidR="00C9769F" w:rsidRPr="00D50E91" w:rsidRDefault="00C9769F" w:rsidP="00C9769F">
      <w:pPr>
        <w:jc w:val="both"/>
      </w:pPr>
    </w:p>
    <w:p w:rsidR="00C9769F" w:rsidRPr="00D50E91" w:rsidRDefault="00C9769F" w:rsidP="00C9769F">
      <w:pPr>
        <w:jc w:val="center"/>
      </w:pPr>
      <w:r w:rsidRPr="00D50E91">
        <w:t>„</w:t>
      </w:r>
      <w:r w:rsidRPr="00D50E91">
        <w:rPr>
          <w:b/>
        </w:rPr>
        <w:t>96. Tűzoltási út, terület, közlekedési, menekülési és egyéb utak</w:t>
      </w:r>
      <w:r w:rsidRPr="00D50E91">
        <w:t>”</w:t>
      </w:r>
    </w:p>
    <w:p w:rsidR="00C9769F" w:rsidRPr="00D50E91" w:rsidRDefault="00C9769F" w:rsidP="00C9769F">
      <w:pPr>
        <w:jc w:val="both"/>
      </w:pPr>
    </w:p>
    <w:p w:rsidR="00C9769F" w:rsidRPr="00D50E91" w:rsidRDefault="00C9769F" w:rsidP="00C9769F">
      <w:pPr>
        <w:keepNext/>
        <w:numPr>
          <w:ilvl w:val="0"/>
          <w:numId w:val="2"/>
        </w:numPr>
        <w:spacing w:line="276" w:lineRule="auto"/>
        <w:ind w:left="0" w:firstLine="0"/>
        <w:jc w:val="center"/>
        <w:outlineLvl w:val="1"/>
        <w:rPr>
          <w:b/>
          <w:bCs/>
        </w:rPr>
      </w:pPr>
      <w:r w:rsidRPr="00D50E91">
        <w:rPr>
          <w:b/>
          <w:bCs/>
        </w:rPr>
        <w:t>§</w:t>
      </w:r>
    </w:p>
    <w:p w:rsidR="00C9769F" w:rsidRPr="00D50E91" w:rsidRDefault="00C9769F" w:rsidP="00C9769F">
      <w:pPr>
        <w:jc w:val="both"/>
      </w:pPr>
    </w:p>
    <w:p w:rsidR="00C9769F" w:rsidRPr="00D50E91" w:rsidRDefault="00C9769F" w:rsidP="00C9769F">
      <w:pPr>
        <w:jc w:val="both"/>
      </w:pPr>
      <w:r w:rsidRPr="00D50E91">
        <w:t>Az R. 193. §</w:t>
      </w:r>
      <w:r w:rsidR="003528A8">
        <w:t>-</w:t>
      </w:r>
      <w:r w:rsidRPr="00D50E91">
        <w:t>a helyébe a következő rendelkezés lép:</w:t>
      </w:r>
    </w:p>
    <w:p w:rsidR="00C9769F" w:rsidRPr="00D50E91" w:rsidRDefault="00C9769F" w:rsidP="00C9769F">
      <w:pPr>
        <w:jc w:val="both"/>
      </w:pPr>
    </w:p>
    <w:p w:rsidR="00C9769F" w:rsidRPr="00D50E91" w:rsidRDefault="00C9769F" w:rsidP="00C9769F">
      <w:pPr>
        <w:jc w:val="both"/>
      </w:pPr>
      <w:r w:rsidRPr="00D50E91">
        <w:t>„193. § (1) A menekülési útvonalak átbocsátóképessége nem szűkíthető le a menekülést biztosító szélesség alá.</w:t>
      </w:r>
    </w:p>
    <w:p w:rsidR="00C9769F" w:rsidRPr="00D50E91" w:rsidRDefault="00C9769F" w:rsidP="00C9769F">
      <w:pPr>
        <w:jc w:val="both"/>
      </w:pPr>
    </w:p>
    <w:p w:rsidR="00C9769F" w:rsidRPr="00D50E91" w:rsidRDefault="00C9769F" w:rsidP="00C9769F">
      <w:pPr>
        <w:jc w:val="both"/>
      </w:pPr>
      <w:r w:rsidRPr="00D50E91">
        <w:t>(2) A létesítmény közlekedési, tűzoltási felvonulási útvonalait, területeit, valamint oltóanyagszerzési helyekhez vezető útjait állandóan szabadon és olyan állapotban kell tartani, amely az időjárási viszonyoktól függetlenül alkalmas a tűzoltó gépjárművek közlekedésére és működtetésére.</w:t>
      </w:r>
    </w:p>
    <w:p w:rsidR="00C9769F" w:rsidRPr="00D50E91" w:rsidRDefault="00C9769F" w:rsidP="00C9769F">
      <w:pPr>
        <w:jc w:val="both"/>
      </w:pPr>
    </w:p>
    <w:p w:rsidR="00C9769F" w:rsidRDefault="00C9769F" w:rsidP="00C9769F">
      <w:pPr>
        <w:jc w:val="both"/>
      </w:pPr>
      <w:r w:rsidRPr="00D50E91">
        <w:t>(3) Az 500 m</w:t>
      </w:r>
      <w:r w:rsidRPr="00D50E91">
        <w:rPr>
          <w:vertAlign w:val="superscript"/>
        </w:rPr>
        <w:t>2</w:t>
      </w:r>
      <w:r w:rsidRPr="00D50E91">
        <w:t xml:space="preserve"> </w:t>
      </w:r>
      <w:r w:rsidR="003528A8">
        <w:t>-</w:t>
      </w:r>
      <w:r w:rsidRPr="00D50E91">
        <w:t>t meghaladó alapterületű üzemi helyiségben, vagy raktárhelyiségben a padlón jól látható és tartós módon meg kell jelölni a legalább 2,4 m széles közlekedési utakat, a falsík, a beépített gépsor, technológiai berendezések által határolt közlekedő és az állványos raktározási terület kivételével.</w:t>
      </w:r>
    </w:p>
    <w:p w:rsidR="00454CD8" w:rsidRPr="00D50E91" w:rsidRDefault="00454CD8" w:rsidP="00C9769F">
      <w:pPr>
        <w:jc w:val="both"/>
      </w:pPr>
    </w:p>
    <w:p w:rsidR="00454CD8" w:rsidRPr="00454CD8" w:rsidRDefault="00454CD8" w:rsidP="00454CD8">
      <w:pPr>
        <w:jc w:val="both"/>
      </w:pPr>
      <w:r>
        <w:t xml:space="preserve">(4) </w:t>
      </w:r>
      <w:r w:rsidRPr="00454CD8">
        <w:t>A személyek tartózkodására, közlekedésére szolgáló és üzemelés alatt álló helyiségek kiürítésre szolgáló ajtóit lezárni, üzemszerűen zárva tartani akkor lehet, ha az ajtó vészeseti nyithatóságát biztosítják. Abban az esetben, ha a rendeltetés, a tevékenység jellege a belső nyithatóságot kizárja, az ajtó külső nyithatóságát a tűzvédelmi hatóság által meghatározott módon biztosítani kell.</w:t>
      </w:r>
      <w:r>
        <w:t>”</w:t>
      </w:r>
    </w:p>
    <w:p w:rsidR="00454CD8" w:rsidRPr="00454CD8" w:rsidRDefault="00454CD8" w:rsidP="00454CD8">
      <w:pPr>
        <w:jc w:val="both"/>
      </w:pPr>
    </w:p>
    <w:p w:rsidR="00C9769F" w:rsidRPr="00D50E91" w:rsidRDefault="00C9769F" w:rsidP="00C9769F">
      <w:pPr>
        <w:keepNext/>
        <w:numPr>
          <w:ilvl w:val="0"/>
          <w:numId w:val="2"/>
        </w:numPr>
        <w:spacing w:line="276" w:lineRule="auto"/>
        <w:ind w:left="0" w:firstLine="0"/>
        <w:jc w:val="center"/>
        <w:outlineLvl w:val="1"/>
        <w:rPr>
          <w:b/>
          <w:bCs/>
        </w:rPr>
      </w:pPr>
      <w:r w:rsidRPr="00D50E91">
        <w:rPr>
          <w:b/>
          <w:bCs/>
        </w:rPr>
        <w:t>§</w:t>
      </w:r>
    </w:p>
    <w:p w:rsidR="00C9769F" w:rsidRPr="00D50E91" w:rsidRDefault="00C9769F" w:rsidP="00C9769F">
      <w:pPr>
        <w:jc w:val="both"/>
      </w:pPr>
    </w:p>
    <w:p w:rsidR="00C9769F" w:rsidRPr="00D50E91" w:rsidRDefault="00C9769F" w:rsidP="00C9769F">
      <w:pPr>
        <w:jc w:val="both"/>
      </w:pPr>
      <w:r w:rsidRPr="00D50E91">
        <w:t>Az R. 194. § (1) bekezdése helyébe a következő rendelkezés lép:</w:t>
      </w:r>
    </w:p>
    <w:p w:rsidR="00C9769F" w:rsidRPr="00D50E91" w:rsidRDefault="00C9769F" w:rsidP="00C9769F">
      <w:pPr>
        <w:jc w:val="both"/>
      </w:pPr>
    </w:p>
    <w:p w:rsidR="00C9769F" w:rsidRPr="00D50E91" w:rsidRDefault="00C9769F" w:rsidP="00C9769F">
      <w:pPr>
        <w:jc w:val="both"/>
      </w:pPr>
      <w:r w:rsidRPr="00D50E91">
        <w:t>„194. § (1) Az épületek menekülési útvonalain fokozottan tűz</w:t>
      </w:r>
      <w:r w:rsidR="003528A8">
        <w:t>-</w:t>
      </w:r>
      <w:r w:rsidRPr="00D50E91">
        <w:t xml:space="preserve"> vagy robbanásveszélyes és mérsékelten tűzveszélyes osztályba tartozó anyagok nem helyezhetőek el, nem tárolhatóak. Ez alól kivételt képeznek a beépített építési termékek és biztonsági jelek, valamint azok az installációk, dekorációk, szőnyegek, falikárpitok és egyéb, nem tárolásra szolgáló, valamint a helyiség rendeltetésével összefüggő tárgyak, amelyek az elhelyezéssel érintett fal vagy a padló felületének szintenként legfeljebb 15%</w:t>
      </w:r>
      <w:r w:rsidR="003528A8">
        <w:t>-</w:t>
      </w:r>
      <w:r w:rsidRPr="00D50E91">
        <w:t>át fedik le.”</w:t>
      </w:r>
    </w:p>
    <w:p w:rsidR="00C9769F" w:rsidRPr="00D50E91" w:rsidRDefault="00C9769F" w:rsidP="00C9769F">
      <w:pPr>
        <w:jc w:val="both"/>
      </w:pPr>
    </w:p>
    <w:p w:rsidR="00C9769F" w:rsidRPr="00D50E91" w:rsidRDefault="00C9769F" w:rsidP="00C9769F">
      <w:pPr>
        <w:keepNext/>
        <w:numPr>
          <w:ilvl w:val="0"/>
          <w:numId w:val="2"/>
        </w:numPr>
        <w:spacing w:line="276" w:lineRule="auto"/>
        <w:ind w:left="0" w:firstLine="0"/>
        <w:jc w:val="center"/>
        <w:outlineLvl w:val="1"/>
        <w:rPr>
          <w:b/>
          <w:bCs/>
        </w:rPr>
      </w:pPr>
      <w:r w:rsidRPr="00D50E91">
        <w:rPr>
          <w:b/>
          <w:bCs/>
        </w:rPr>
        <w:lastRenderedPageBreak/>
        <w:t>§</w:t>
      </w:r>
    </w:p>
    <w:p w:rsidR="00C9769F" w:rsidRPr="00D50E91" w:rsidRDefault="00C9769F" w:rsidP="00C9769F">
      <w:pPr>
        <w:jc w:val="both"/>
      </w:pPr>
    </w:p>
    <w:p w:rsidR="00C9769F" w:rsidRPr="00D50E91" w:rsidRDefault="00C9769F" w:rsidP="00C9769F">
      <w:pPr>
        <w:jc w:val="both"/>
      </w:pPr>
      <w:r w:rsidRPr="00D50E91">
        <w:t>Az R. 196. § (5) bekezdése helyébe a következő rendelkezés lép:</w:t>
      </w:r>
    </w:p>
    <w:p w:rsidR="00C9769F" w:rsidRPr="00D50E91" w:rsidRDefault="00C9769F" w:rsidP="00C9769F">
      <w:pPr>
        <w:jc w:val="both"/>
      </w:pPr>
    </w:p>
    <w:p w:rsidR="00C9769F" w:rsidRPr="00D50E91" w:rsidRDefault="00C9769F" w:rsidP="00C9769F">
      <w:pPr>
        <w:jc w:val="both"/>
      </w:pPr>
      <w:r w:rsidRPr="00D50E91">
        <w:t>„(5) A 14 méternél magasabban lévő legfelső használati szinttel rendelkező lakóépület központi szellőző rendszerét, valamint melegkonyhás vendéglátó hely és melegkonyhás vendéglátó üzlet szellőző (szagelszívó) rendszerét a gyártó által meghatározott rendszerességgel, annak hiányában lakóépületben 4 évente, melegkonyhás vendéglátó hely és melegkonyhás vendéglátó üzlet esetében évente tisztítani és annak elvégzését írásban igazolni kell.”</w:t>
      </w:r>
    </w:p>
    <w:p w:rsidR="00C9769F" w:rsidRPr="00D50E91" w:rsidRDefault="00C9769F" w:rsidP="00C9769F">
      <w:pPr>
        <w:jc w:val="both"/>
      </w:pPr>
    </w:p>
    <w:p w:rsidR="00C9769F" w:rsidRPr="00D50E91" w:rsidRDefault="00C9769F" w:rsidP="00C9769F">
      <w:pPr>
        <w:keepNext/>
        <w:numPr>
          <w:ilvl w:val="0"/>
          <w:numId w:val="2"/>
        </w:numPr>
        <w:spacing w:line="276" w:lineRule="auto"/>
        <w:ind w:left="0" w:firstLine="0"/>
        <w:jc w:val="center"/>
        <w:outlineLvl w:val="1"/>
        <w:rPr>
          <w:b/>
          <w:bCs/>
        </w:rPr>
      </w:pPr>
      <w:r w:rsidRPr="00D50E91">
        <w:rPr>
          <w:b/>
          <w:bCs/>
        </w:rPr>
        <w:t>§</w:t>
      </w:r>
    </w:p>
    <w:p w:rsidR="00C9769F" w:rsidRPr="00D50E91" w:rsidRDefault="00C9769F" w:rsidP="00C9769F">
      <w:pPr>
        <w:jc w:val="both"/>
      </w:pPr>
    </w:p>
    <w:p w:rsidR="00C9769F" w:rsidRPr="00D50E91" w:rsidRDefault="00C9769F" w:rsidP="00C9769F">
      <w:pPr>
        <w:jc w:val="both"/>
      </w:pPr>
      <w:r w:rsidRPr="00D50E91">
        <w:t>Az R. 198. § (1) bekezdése helyébe a következő rendelkezés lép:</w:t>
      </w:r>
    </w:p>
    <w:p w:rsidR="00C9769F" w:rsidRPr="00D50E91" w:rsidRDefault="00C9769F" w:rsidP="00C9769F">
      <w:pPr>
        <w:jc w:val="both"/>
      </w:pPr>
    </w:p>
    <w:p w:rsidR="00C9769F" w:rsidRPr="00D50E91" w:rsidRDefault="00C9769F" w:rsidP="00C9769F">
      <w:pPr>
        <w:jc w:val="both"/>
      </w:pPr>
      <w:r w:rsidRPr="00D50E91">
        <w:t>„(1) Fokozottan tűz</w:t>
      </w:r>
      <w:r w:rsidR="003528A8">
        <w:t>-</w:t>
      </w:r>
      <w:r w:rsidRPr="00D50E91">
        <w:t xml:space="preserve"> vagy robbanásveszélyes és mérsékelten tűzveszélyes osztályba tartozó gázt, gőzt vagy fokozottan tűz</w:t>
      </w:r>
      <w:r w:rsidR="003528A8">
        <w:t>-</w:t>
      </w:r>
      <w:r w:rsidRPr="00D50E91">
        <w:t xml:space="preserve"> vagy robbanásveszélyes osztályba tartozó folyadékot, az ilyen anyagot oldott állapotban tartalmazó szennyvizet, valamint vízzel vegyi reakcióba lépő, fokozottan tűz</w:t>
      </w:r>
      <w:r w:rsidR="003528A8">
        <w:t>-</w:t>
      </w:r>
      <w:r w:rsidRPr="00D50E91">
        <w:t xml:space="preserve"> vagy robbanásveszélyes vagy mérsékelten tűzveszélyes osztályba tartozó gázt fejlesztő anyagot a közcsatornába vagy a szikkasztóba bevezetni tilos.”</w:t>
      </w:r>
    </w:p>
    <w:p w:rsidR="00C9769F" w:rsidRPr="00D50E91" w:rsidRDefault="00C9769F" w:rsidP="00C9769F">
      <w:pPr>
        <w:jc w:val="both"/>
      </w:pPr>
    </w:p>
    <w:p w:rsidR="00C9769F" w:rsidRPr="00D50E91" w:rsidRDefault="00C9769F" w:rsidP="00C9769F">
      <w:pPr>
        <w:keepNext/>
        <w:numPr>
          <w:ilvl w:val="0"/>
          <w:numId w:val="2"/>
        </w:numPr>
        <w:spacing w:line="276" w:lineRule="auto"/>
        <w:ind w:left="0" w:firstLine="0"/>
        <w:jc w:val="center"/>
        <w:outlineLvl w:val="1"/>
        <w:rPr>
          <w:b/>
          <w:bCs/>
        </w:rPr>
      </w:pPr>
      <w:r w:rsidRPr="00D50E91">
        <w:rPr>
          <w:b/>
          <w:bCs/>
        </w:rPr>
        <w:t>§</w:t>
      </w:r>
    </w:p>
    <w:p w:rsidR="00C9769F" w:rsidRPr="00D50E91" w:rsidRDefault="00C9769F" w:rsidP="00C9769F">
      <w:pPr>
        <w:jc w:val="both"/>
      </w:pPr>
    </w:p>
    <w:p w:rsidR="00C9769F" w:rsidRPr="00D50E91" w:rsidRDefault="00C9769F" w:rsidP="00C9769F">
      <w:pPr>
        <w:jc w:val="both"/>
      </w:pPr>
      <w:r w:rsidRPr="00D50E91">
        <w:t>(1) Az R. 201. § (1) bekezdése helyébe a következő rendelkezés lép:</w:t>
      </w:r>
    </w:p>
    <w:p w:rsidR="00C9769F" w:rsidRPr="00D50E91" w:rsidRDefault="00C9769F" w:rsidP="00C9769F">
      <w:pPr>
        <w:jc w:val="both"/>
      </w:pPr>
    </w:p>
    <w:p w:rsidR="00C9769F" w:rsidRPr="00D50E91" w:rsidRDefault="00C9769F" w:rsidP="00C9769F">
      <w:pPr>
        <w:jc w:val="both"/>
      </w:pPr>
      <w:r w:rsidRPr="00D50E91">
        <w:t>„(1) A beépített tűzjelző, tűzoltó, tűzterjedésgátló berendezést, a tűzoltósági kulcsszéfet, a tűz</w:t>
      </w:r>
      <w:r w:rsidR="003528A8">
        <w:t>-</w:t>
      </w:r>
      <w:r w:rsidRPr="00D50E91">
        <w:t xml:space="preserve"> és hibaátjelző berendezést az építmény tulajdonosának állandóan üzemképes állapotban kell tartania és üzemeltetnie kell.”</w:t>
      </w:r>
    </w:p>
    <w:p w:rsidR="00C9769F" w:rsidRPr="00D50E91" w:rsidRDefault="00C9769F" w:rsidP="00C9769F">
      <w:pPr>
        <w:jc w:val="both"/>
      </w:pPr>
    </w:p>
    <w:p w:rsidR="00C9769F" w:rsidRPr="00D50E91" w:rsidRDefault="00C9769F" w:rsidP="00C9769F">
      <w:pPr>
        <w:jc w:val="both"/>
      </w:pPr>
      <w:r w:rsidRPr="00D50E91">
        <w:t>(2) az R. 201. §</w:t>
      </w:r>
      <w:r w:rsidR="003528A8">
        <w:t>-</w:t>
      </w:r>
      <w:r w:rsidRPr="00D50E91">
        <w:t>a a következő (3) bekezdéssel egészül ki:</w:t>
      </w:r>
    </w:p>
    <w:p w:rsidR="00C9769F" w:rsidRPr="00D50E91" w:rsidRDefault="00C9769F" w:rsidP="00C9769F">
      <w:pPr>
        <w:jc w:val="both"/>
      </w:pPr>
    </w:p>
    <w:p w:rsidR="00C9769F" w:rsidRPr="00D50E91" w:rsidRDefault="00C9769F" w:rsidP="00C9769F">
      <w:pPr>
        <w:jc w:val="both"/>
      </w:pPr>
      <w:r w:rsidRPr="00D50E91">
        <w:t>„(3) A beépített tűzjelző, tűzoltó, tűzterjedésgátló berendezés tűz észlelésére, oltására, a tűzterjedés gátlására szolgáló részegységeinek működési feltételeit a részegységek környezetében folyamatosan biztosítani kell, azok hatékonyságát eltakarással, eltorlaszolással vagy más módon korlátozni, csökkenteni nem szabad.”</w:t>
      </w:r>
    </w:p>
    <w:p w:rsidR="00C9769F" w:rsidRPr="00D50E91" w:rsidRDefault="00C9769F" w:rsidP="00C9769F">
      <w:pPr>
        <w:jc w:val="both"/>
      </w:pPr>
    </w:p>
    <w:p w:rsidR="00C9769F" w:rsidRPr="00D50E91" w:rsidRDefault="00C9769F" w:rsidP="00C9769F">
      <w:pPr>
        <w:keepNext/>
        <w:numPr>
          <w:ilvl w:val="0"/>
          <w:numId w:val="2"/>
        </w:numPr>
        <w:spacing w:line="276" w:lineRule="auto"/>
        <w:ind w:left="0" w:firstLine="0"/>
        <w:jc w:val="center"/>
        <w:outlineLvl w:val="1"/>
        <w:rPr>
          <w:b/>
          <w:bCs/>
        </w:rPr>
      </w:pPr>
      <w:r w:rsidRPr="00D50E91">
        <w:rPr>
          <w:b/>
          <w:bCs/>
        </w:rPr>
        <w:t>§</w:t>
      </w:r>
    </w:p>
    <w:p w:rsidR="00C9769F" w:rsidRPr="00D50E91" w:rsidRDefault="00C9769F" w:rsidP="00C9769F">
      <w:pPr>
        <w:jc w:val="both"/>
      </w:pPr>
    </w:p>
    <w:p w:rsidR="00C9769F" w:rsidRPr="00D50E91" w:rsidRDefault="00C9769F" w:rsidP="00C9769F">
      <w:pPr>
        <w:jc w:val="both"/>
      </w:pPr>
      <w:r w:rsidRPr="00D50E91">
        <w:t>Az R. 202. § (6) bekezdése helyébe a következő rendelkezés lép:</w:t>
      </w:r>
    </w:p>
    <w:p w:rsidR="00C9769F" w:rsidRPr="00D50E91" w:rsidRDefault="00C9769F" w:rsidP="00C9769F">
      <w:pPr>
        <w:jc w:val="both"/>
      </w:pPr>
    </w:p>
    <w:p w:rsidR="00C9769F" w:rsidRPr="00D50E91" w:rsidRDefault="00C9769F" w:rsidP="00C9769F">
      <w:pPr>
        <w:jc w:val="both"/>
      </w:pPr>
      <w:r w:rsidRPr="00D50E91">
        <w:t>„(6) A berendezés meghibásodása, tervszerű üzemszünete esetén, továbbá a tűzoltó berendezés aktiválódását követően az oltóanyag pótlásáig, a berendezés üzemkész állapotának visszaállításáig a biztonsági feltételeket az üzemeltető a helyi kockázatnak megfelelően biztosítja.”</w:t>
      </w:r>
    </w:p>
    <w:p w:rsidR="00C9769F" w:rsidRPr="00D50E91" w:rsidRDefault="00C9769F" w:rsidP="00C9769F">
      <w:pPr>
        <w:jc w:val="both"/>
      </w:pPr>
    </w:p>
    <w:p w:rsidR="00C9769F" w:rsidRPr="00D50E91" w:rsidRDefault="00C9769F" w:rsidP="00C9769F">
      <w:pPr>
        <w:keepNext/>
        <w:numPr>
          <w:ilvl w:val="0"/>
          <w:numId w:val="2"/>
        </w:numPr>
        <w:spacing w:line="276" w:lineRule="auto"/>
        <w:ind w:left="0" w:firstLine="0"/>
        <w:jc w:val="center"/>
        <w:outlineLvl w:val="1"/>
        <w:rPr>
          <w:b/>
          <w:bCs/>
        </w:rPr>
      </w:pPr>
      <w:r w:rsidRPr="00D50E91">
        <w:rPr>
          <w:b/>
          <w:bCs/>
        </w:rPr>
        <w:t>§</w:t>
      </w:r>
    </w:p>
    <w:p w:rsidR="00C9769F" w:rsidRPr="00D50E91" w:rsidRDefault="00C9769F" w:rsidP="00C9769F">
      <w:pPr>
        <w:jc w:val="both"/>
      </w:pPr>
    </w:p>
    <w:p w:rsidR="00C9769F" w:rsidRPr="00D50E91" w:rsidRDefault="00C9769F" w:rsidP="00C9769F">
      <w:pPr>
        <w:jc w:val="both"/>
      </w:pPr>
      <w:r w:rsidRPr="00D50E91">
        <w:t>Az R. a következő 225/A. §</w:t>
      </w:r>
      <w:r w:rsidR="003528A8">
        <w:t>-</w:t>
      </w:r>
      <w:r w:rsidRPr="00D50E91">
        <w:t>sal egészül ki:</w:t>
      </w:r>
    </w:p>
    <w:p w:rsidR="00C9769F" w:rsidRPr="00D50E91" w:rsidRDefault="00C9769F" w:rsidP="00C9769F">
      <w:pPr>
        <w:jc w:val="both"/>
      </w:pPr>
    </w:p>
    <w:p w:rsidR="00C9769F" w:rsidRPr="00D50E91" w:rsidRDefault="00C9769F" w:rsidP="00C9769F">
      <w:pPr>
        <w:jc w:val="both"/>
      </w:pPr>
      <w:r w:rsidRPr="00D50E91">
        <w:t>„225/A § (1) A szabadban történő tűzgyújtás, égetés során a tűz nem hagyható őrizetlenül, és veszély esetén, vagy ha az égetést befejezték, azt azonnal el kell oltani.</w:t>
      </w:r>
    </w:p>
    <w:p w:rsidR="00C9769F" w:rsidRPr="00D50E91" w:rsidRDefault="00C9769F" w:rsidP="00C9769F">
      <w:pPr>
        <w:jc w:val="both"/>
      </w:pPr>
    </w:p>
    <w:p w:rsidR="00C9769F" w:rsidRPr="00D50E91" w:rsidRDefault="00C9769F" w:rsidP="00C9769F">
      <w:pPr>
        <w:jc w:val="both"/>
      </w:pPr>
      <w:r w:rsidRPr="00D50E91">
        <w:t>(2) Az égetés csak úgy végezhető, hogy az a környezetére tűz</w:t>
      </w:r>
      <w:r w:rsidR="003528A8">
        <w:t>-</w:t>
      </w:r>
      <w:r w:rsidRPr="00D50E91">
        <w:t xml:space="preserve"> és robbanásveszélyt ne jelentsen.</w:t>
      </w:r>
    </w:p>
    <w:p w:rsidR="00C9769F" w:rsidRPr="00D50E91" w:rsidRDefault="00C9769F" w:rsidP="00C9769F">
      <w:pPr>
        <w:jc w:val="both"/>
      </w:pPr>
    </w:p>
    <w:p w:rsidR="00C9769F" w:rsidRPr="00D50E91" w:rsidRDefault="00C9769F" w:rsidP="00C9769F">
      <w:pPr>
        <w:jc w:val="both"/>
      </w:pPr>
      <w:r w:rsidRPr="00D50E91">
        <w:t xml:space="preserve">(3) Az égetés befejezése után a helyszínt gondosan át kell vizsgálni, és a parázslást, izzást </w:t>
      </w:r>
      <w:r w:rsidR="003528A8">
        <w:t>-</w:t>
      </w:r>
      <w:r w:rsidRPr="00D50E91">
        <w:t xml:space="preserve"> vízzel, földtakarással, kéziszerszámokkal </w:t>
      </w:r>
      <w:r w:rsidR="003528A8">
        <w:t>-</w:t>
      </w:r>
      <w:r w:rsidRPr="00D50E91">
        <w:t xml:space="preserve"> meg kell szüntetni.”</w:t>
      </w:r>
    </w:p>
    <w:p w:rsidR="00C9769F" w:rsidRPr="00D50E91" w:rsidRDefault="00C9769F" w:rsidP="00C9769F">
      <w:pPr>
        <w:jc w:val="both"/>
      </w:pPr>
    </w:p>
    <w:p w:rsidR="00C9769F" w:rsidRPr="00D50E91" w:rsidRDefault="00C9769F" w:rsidP="00C9769F">
      <w:pPr>
        <w:keepNext/>
        <w:numPr>
          <w:ilvl w:val="0"/>
          <w:numId w:val="2"/>
        </w:numPr>
        <w:spacing w:line="276" w:lineRule="auto"/>
        <w:ind w:left="0" w:firstLine="0"/>
        <w:jc w:val="center"/>
        <w:outlineLvl w:val="1"/>
        <w:rPr>
          <w:b/>
          <w:bCs/>
        </w:rPr>
      </w:pPr>
      <w:r w:rsidRPr="00D50E91">
        <w:rPr>
          <w:b/>
          <w:bCs/>
        </w:rPr>
        <w:t>§</w:t>
      </w:r>
    </w:p>
    <w:p w:rsidR="00C9769F" w:rsidRPr="00D50E91" w:rsidRDefault="00C9769F" w:rsidP="00C9769F">
      <w:pPr>
        <w:jc w:val="both"/>
      </w:pPr>
    </w:p>
    <w:p w:rsidR="00C9769F" w:rsidRPr="00D50E91" w:rsidRDefault="00C9769F" w:rsidP="00C9769F">
      <w:pPr>
        <w:jc w:val="both"/>
      </w:pPr>
      <w:r w:rsidRPr="00D50E91">
        <w:t>Az R. 226. §</w:t>
      </w:r>
      <w:r w:rsidR="003528A8">
        <w:t>-</w:t>
      </w:r>
      <w:r w:rsidRPr="00D50E91">
        <w:t>a helyébe a következő rendelkezés lép:</w:t>
      </w:r>
    </w:p>
    <w:p w:rsidR="00C9769F" w:rsidRPr="00D50E91" w:rsidRDefault="00C9769F" w:rsidP="00C9769F">
      <w:pPr>
        <w:jc w:val="both"/>
      </w:pPr>
    </w:p>
    <w:p w:rsidR="00C9769F" w:rsidRPr="00D50E91" w:rsidRDefault="00C9769F" w:rsidP="00C9769F">
      <w:pPr>
        <w:jc w:val="both"/>
      </w:pPr>
      <w:r w:rsidRPr="00D50E91">
        <w:t>„226. § (1) Amennyiben azt más jogszabály lehetővé teszi, külterületen az ingatlan tulajdonosa, használója legfeljebb 10 ha egybefüggő területen irányított égetést végezhet.</w:t>
      </w:r>
    </w:p>
    <w:p w:rsidR="00C9769F" w:rsidRPr="00D50E91" w:rsidRDefault="00C9769F" w:rsidP="00C9769F">
      <w:pPr>
        <w:jc w:val="both"/>
      </w:pPr>
    </w:p>
    <w:p w:rsidR="00C9769F" w:rsidRPr="00D50E91" w:rsidRDefault="00C9769F" w:rsidP="00C9769F">
      <w:pPr>
        <w:jc w:val="both"/>
      </w:pPr>
      <w:r w:rsidRPr="00D50E91">
        <w:t>(2) Az irányított égetés végzésének időpontját, terjedelmét, földrajzi koordinátákkal vagy helyrajzi számmal megadott helyét, a megkezdés előtt 2 munkanappal az illetékes hivatásos katasztrófavédelmi szerv területi szervéhez írásban be kell jelenteni.</w:t>
      </w:r>
    </w:p>
    <w:p w:rsidR="00C9769F" w:rsidRPr="00D50E91" w:rsidRDefault="00C9769F" w:rsidP="00C9769F">
      <w:pPr>
        <w:jc w:val="both"/>
      </w:pPr>
    </w:p>
    <w:p w:rsidR="00C9769F" w:rsidRPr="00D50E91" w:rsidRDefault="00C9769F" w:rsidP="00C9769F">
      <w:pPr>
        <w:jc w:val="both"/>
      </w:pPr>
      <w:r w:rsidRPr="00D50E91">
        <w:t>(3) Az irányított égetés során a tűz nem hagyható őrizetlenül, és veszély esetén, azt azonnal el kell oltani.</w:t>
      </w:r>
    </w:p>
    <w:p w:rsidR="00C9769F" w:rsidRPr="00D50E91" w:rsidRDefault="00C9769F" w:rsidP="00C9769F">
      <w:pPr>
        <w:jc w:val="both"/>
      </w:pPr>
    </w:p>
    <w:p w:rsidR="00C9769F" w:rsidRPr="00D50E91" w:rsidRDefault="00C9769F" w:rsidP="00C9769F">
      <w:pPr>
        <w:jc w:val="both"/>
      </w:pPr>
      <w:r w:rsidRPr="00D50E91">
        <w:t>(4) Az irányított égetés csak úgy végezhető, hogy az a környezetére tűz</w:t>
      </w:r>
      <w:r w:rsidR="003528A8">
        <w:t>-</w:t>
      </w:r>
      <w:r w:rsidRPr="00D50E91">
        <w:t xml:space="preserve"> és robbanásveszélyt ne jelentsen.</w:t>
      </w:r>
    </w:p>
    <w:p w:rsidR="00C9769F" w:rsidRPr="00D50E91" w:rsidRDefault="00C9769F" w:rsidP="00C9769F">
      <w:pPr>
        <w:jc w:val="both"/>
      </w:pPr>
    </w:p>
    <w:p w:rsidR="00C9769F" w:rsidRPr="00D50E91" w:rsidRDefault="00C9769F" w:rsidP="00C9769F">
      <w:pPr>
        <w:jc w:val="both"/>
      </w:pPr>
      <w:r w:rsidRPr="00D50E91">
        <w:t xml:space="preserve">(5) Az irányított égetés befejezése után a helyszínt gondosan át kell vizsgálni, és a parázslást, izzást </w:t>
      </w:r>
      <w:r w:rsidR="003528A8">
        <w:t>-</w:t>
      </w:r>
      <w:r w:rsidRPr="00D50E91">
        <w:t xml:space="preserve"> vízzel, földtakarással, kéziszerszámokkal </w:t>
      </w:r>
      <w:r w:rsidR="003528A8">
        <w:t>-</w:t>
      </w:r>
      <w:r w:rsidRPr="00D50E91">
        <w:t xml:space="preserve"> meg kell szüntetni.”</w:t>
      </w:r>
    </w:p>
    <w:p w:rsidR="00C9769F" w:rsidRPr="00D50E91" w:rsidRDefault="00C9769F" w:rsidP="00C9769F">
      <w:pPr>
        <w:jc w:val="both"/>
      </w:pPr>
    </w:p>
    <w:p w:rsidR="00C9769F" w:rsidRPr="00D50E91" w:rsidRDefault="00C9769F" w:rsidP="00C9769F">
      <w:pPr>
        <w:keepNext/>
        <w:numPr>
          <w:ilvl w:val="0"/>
          <w:numId w:val="2"/>
        </w:numPr>
        <w:spacing w:line="276" w:lineRule="auto"/>
        <w:ind w:left="0" w:firstLine="0"/>
        <w:jc w:val="center"/>
        <w:outlineLvl w:val="1"/>
        <w:rPr>
          <w:b/>
          <w:bCs/>
        </w:rPr>
      </w:pPr>
      <w:r w:rsidRPr="00D50E91">
        <w:rPr>
          <w:b/>
          <w:bCs/>
        </w:rPr>
        <w:t>§</w:t>
      </w:r>
    </w:p>
    <w:p w:rsidR="00C9769F" w:rsidRPr="00D50E91" w:rsidRDefault="00C9769F" w:rsidP="00C9769F">
      <w:pPr>
        <w:jc w:val="both"/>
      </w:pPr>
    </w:p>
    <w:p w:rsidR="00C9769F" w:rsidRPr="00D50E91" w:rsidRDefault="00C9769F" w:rsidP="00C9769F">
      <w:pPr>
        <w:jc w:val="both"/>
      </w:pPr>
      <w:r w:rsidRPr="00D50E91">
        <w:t>(1) Az R. 255. § (7) bekezdés b) pontja helyébe a következő rendelkezés lép:</w:t>
      </w:r>
    </w:p>
    <w:p w:rsidR="00C9769F" w:rsidRPr="00D50E91" w:rsidRDefault="00C9769F" w:rsidP="00C9769F">
      <w:pPr>
        <w:jc w:val="both"/>
      </w:pPr>
    </w:p>
    <w:p w:rsidR="00C9769F" w:rsidRPr="00D50E91" w:rsidRDefault="00C9769F" w:rsidP="00C9769F">
      <w:pPr>
        <w:jc w:val="both"/>
        <w:rPr>
          <w:i/>
        </w:rPr>
      </w:pPr>
      <w:r w:rsidRPr="00D50E91">
        <w:rPr>
          <w:i/>
        </w:rPr>
        <w:t>[A felülvizsgálatok és karbantartások között, rendszeres és rendkívüli felülvizsgálatok vannak. A rendszeres felülvizsgálatok célja a tűzjelző rendszer megfelelő működőképességének normál körülmények között történő ellenőrzése. Rendkívüli felülvizsgálatot kell végrehajtani]</w:t>
      </w:r>
    </w:p>
    <w:p w:rsidR="00C9769F" w:rsidRPr="00D50E91" w:rsidRDefault="00C9769F" w:rsidP="00C9769F">
      <w:pPr>
        <w:jc w:val="both"/>
      </w:pPr>
      <w:r w:rsidRPr="00D50E91">
        <w:t>„b) téves riasztás esetén, kivéve, ha annak konkrét fizikai oka a helyszínen azonnal a téves riasztást követően egyértelműen megállapítható,”</w:t>
      </w:r>
    </w:p>
    <w:p w:rsidR="00C9769F" w:rsidRPr="00D50E91" w:rsidRDefault="00C9769F" w:rsidP="00C9769F">
      <w:pPr>
        <w:jc w:val="both"/>
      </w:pPr>
    </w:p>
    <w:p w:rsidR="00C9769F" w:rsidRPr="00D50E91" w:rsidRDefault="00C9769F" w:rsidP="00C9769F">
      <w:pPr>
        <w:jc w:val="both"/>
      </w:pPr>
      <w:r w:rsidRPr="00D50E91">
        <w:t>(2) Az R. 255. § (7) bekezdés e) pontja helyébe a következő rendelkezés lép:</w:t>
      </w:r>
    </w:p>
    <w:p w:rsidR="00C9769F" w:rsidRPr="00D50E91" w:rsidRDefault="00C9769F" w:rsidP="00C9769F">
      <w:pPr>
        <w:jc w:val="both"/>
      </w:pPr>
    </w:p>
    <w:p w:rsidR="00C9769F" w:rsidRPr="00D50E91" w:rsidRDefault="00C9769F" w:rsidP="00C9769F">
      <w:pPr>
        <w:jc w:val="both"/>
        <w:rPr>
          <w:i/>
        </w:rPr>
      </w:pPr>
      <w:r w:rsidRPr="00D50E91">
        <w:rPr>
          <w:i/>
        </w:rPr>
        <w:t>[A felülvizsgálatok és karbantartások között, rendszeres és rendkívüli felülvizsgálatok vannak. A rendszeres felülvizsgálatok célja a tűzjelző rendszer megfelelő működőképességének normál körülmények között történő ellenőrzése. Rendkívüli felülvizsgálatot kell végrehajtani]</w:t>
      </w:r>
    </w:p>
    <w:p w:rsidR="00C9769F" w:rsidRPr="00D50E91" w:rsidRDefault="00C9769F" w:rsidP="00C9769F">
      <w:pPr>
        <w:jc w:val="both"/>
      </w:pPr>
      <w:r w:rsidRPr="00D50E91">
        <w:t>„e) hosszú üzemszünet után, amelynek időtartama meghaladta a fél évet, vagy”</w:t>
      </w:r>
    </w:p>
    <w:p w:rsidR="00C9769F" w:rsidRPr="00D50E91" w:rsidRDefault="00C9769F" w:rsidP="00C9769F">
      <w:pPr>
        <w:jc w:val="both"/>
      </w:pPr>
    </w:p>
    <w:p w:rsidR="00C9769F" w:rsidRPr="00D50E91" w:rsidRDefault="00C9769F" w:rsidP="00C9769F">
      <w:pPr>
        <w:keepNext/>
        <w:numPr>
          <w:ilvl w:val="0"/>
          <w:numId w:val="2"/>
        </w:numPr>
        <w:spacing w:line="276" w:lineRule="auto"/>
        <w:ind w:left="0" w:firstLine="0"/>
        <w:jc w:val="center"/>
        <w:outlineLvl w:val="1"/>
        <w:rPr>
          <w:b/>
          <w:bCs/>
        </w:rPr>
      </w:pPr>
      <w:r w:rsidRPr="00D50E91">
        <w:rPr>
          <w:b/>
          <w:bCs/>
        </w:rPr>
        <w:t>§</w:t>
      </w:r>
    </w:p>
    <w:p w:rsidR="00C9769F" w:rsidRPr="00D50E91" w:rsidRDefault="00C9769F" w:rsidP="00C9769F">
      <w:pPr>
        <w:jc w:val="both"/>
      </w:pPr>
    </w:p>
    <w:p w:rsidR="00C9769F" w:rsidRPr="00D50E91" w:rsidRDefault="00C9769F" w:rsidP="00C9769F">
      <w:pPr>
        <w:jc w:val="both"/>
      </w:pPr>
      <w:r w:rsidRPr="00D50E91">
        <w:t>Az R. 262. § (2) bekezdése a következő l) és m) ponttal egészül ki:</w:t>
      </w:r>
    </w:p>
    <w:p w:rsidR="00C9769F" w:rsidRPr="00D50E91" w:rsidRDefault="00C9769F" w:rsidP="00C9769F">
      <w:pPr>
        <w:jc w:val="both"/>
      </w:pPr>
    </w:p>
    <w:p w:rsidR="00C9769F" w:rsidRPr="00D50E91" w:rsidRDefault="00C9769F" w:rsidP="00C9769F">
      <w:pPr>
        <w:jc w:val="both"/>
        <w:rPr>
          <w:i/>
        </w:rPr>
      </w:pPr>
      <w:r w:rsidRPr="00D50E91">
        <w:rPr>
          <w:i/>
        </w:rPr>
        <w:t>[A felülvizsgálat során a gyártói előírások figyelembevételével ellenőrizni kell]</w:t>
      </w:r>
    </w:p>
    <w:p w:rsidR="00C9769F" w:rsidRPr="00D50E91" w:rsidRDefault="00C9769F" w:rsidP="00C9769F">
      <w:pPr>
        <w:jc w:val="both"/>
      </w:pPr>
      <w:r w:rsidRPr="00D50E91">
        <w:lastRenderedPageBreak/>
        <w:t>„l) az oltóanyag kijuttatását szolgáló szórófejek állapotát, a szennyeződések eltávolítását, átjárhatóságát, és</w:t>
      </w:r>
    </w:p>
    <w:p w:rsidR="00C9769F" w:rsidRPr="00D50E91" w:rsidRDefault="00C9769F" w:rsidP="00C9769F">
      <w:pPr>
        <w:jc w:val="both"/>
      </w:pPr>
      <w:r w:rsidRPr="00D50E91">
        <w:t>m) a csőhálózat állapotát, korróziójának mértékét.”</w:t>
      </w:r>
    </w:p>
    <w:p w:rsidR="00C9769F" w:rsidRPr="00D50E91" w:rsidRDefault="00C9769F" w:rsidP="00C9769F">
      <w:pPr>
        <w:jc w:val="both"/>
      </w:pPr>
    </w:p>
    <w:p w:rsidR="00C9769F" w:rsidRPr="00D50E91" w:rsidRDefault="00C9769F" w:rsidP="00C9769F">
      <w:pPr>
        <w:keepNext/>
        <w:numPr>
          <w:ilvl w:val="0"/>
          <w:numId w:val="2"/>
        </w:numPr>
        <w:spacing w:line="276" w:lineRule="auto"/>
        <w:ind w:left="0" w:firstLine="0"/>
        <w:jc w:val="center"/>
        <w:outlineLvl w:val="1"/>
        <w:rPr>
          <w:b/>
          <w:bCs/>
        </w:rPr>
      </w:pPr>
      <w:r w:rsidRPr="00D50E91">
        <w:rPr>
          <w:b/>
          <w:bCs/>
        </w:rPr>
        <w:t>§</w:t>
      </w:r>
    </w:p>
    <w:p w:rsidR="00C9769F" w:rsidRPr="00D50E91" w:rsidRDefault="00C9769F" w:rsidP="00C9769F">
      <w:pPr>
        <w:jc w:val="both"/>
      </w:pPr>
    </w:p>
    <w:p w:rsidR="00C9769F" w:rsidRPr="00D50E91" w:rsidRDefault="00C9769F" w:rsidP="00C9769F">
      <w:pPr>
        <w:jc w:val="both"/>
      </w:pPr>
      <w:r w:rsidRPr="00D50E91">
        <w:t>Az R. 264. § (6) bekezdése helyébe a következő rendelkezés lép:</w:t>
      </w:r>
    </w:p>
    <w:p w:rsidR="00C9769F" w:rsidRPr="00D50E91" w:rsidRDefault="00C9769F" w:rsidP="00C9769F">
      <w:pPr>
        <w:jc w:val="both"/>
      </w:pPr>
    </w:p>
    <w:p w:rsidR="00C9769F" w:rsidRPr="00D50E91" w:rsidRDefault="00C9769F" w:rsidP="00C9769F">
      <w:pPr>
        <w:jc w:val="both"/>
      </w:pPr>
      <w:r w:rsidRPr="00D50E91">
        <w:t>„(6) A ciklusidők számítása az első alap</w:t>
      </w:r>
      <w:r w:rsidR="003528A8">
        <w:t>-</w:t>
      </w:r>
      <w:r w:rsidRPr="00D50E91">
        <w:t>, közép</w:t>
      </w:r>
      <w:r w:rsidR="003528A8">
        <w:t>-</w:t>
      </w:r>
      <w:r w:rsidRPr="00D50E91">
        <w:t xml:space="preserve"> és teljeskörű karbantartás esetében a gyártási időponttól, a további karbantartások esetében a legutolsó karbantartástól történik. Ha gyártási időpontként csak az év van feltüntetve, az adott év január 31., ha a gyártás éve és negyedéve van jelölve, az adott negyedév első hónapjának utolsó napja, ha a gyártás éve és hónapja van jelölve, az adott hónap utolsó napja a gyártási időpont.”</w:t>
      </w:r>
    </w:p>
    <w:p w:rsidR="00C9769F" w:rsidRPr="00D50E91" w:rsidRDefault="00C9769F" w:rsidP="00C9769F">
      <w:pPr>
        <w:jc w:val="both"/>
      </w:pPr>
    </w:p>
    <w:p w:rsidR="00C9769F" w:rsidRPr="00D50E91" w:rsidRDefault="00C9769F" w:rsidP="00C9769F">
      <w:pPr>
        <w:keepNext/>
        <w:numPr>
          <w:ilvl w:val="0"/>
          <w:numId w:val="2"/>
        </w:numPr>
        <w:spacing w:line="276" w:lineRule="auto"/>
        <w:ind w:left="0" w:firstLine="0"/>
        <w:jc w:val="center"/>
        <w:outlineLvl w:val="1"/>
        <w:rPr>
          <w:b/>
          <w:bCs/>
        </w:rPr>
      </w:pPr>
      <w:r w:rsidRPr="00D50E91">
        <w:rPr>
          <w:b/>
          <w:bCs/>
        </w:rPr>
        <w:t>§</w:t>
      </w:r>
    </w:p>
    <w:p w:rsidR="00C9769F" w:rsidRPr="00D50E91" w:rsidRDefault="00C9769F" w:rsidP="00C9769F">
      <w:pPr>
        <w:jc w:val="both"/>
      </w:pPr>
    </w:p>
    <w:p w:rsidR="00C9769F" w:rsidRPr="00D50E91" w:rsidRDefault="00C9769F" w:rsidP="00C9769F">
      <w:pPr>
        <w:jc w:val="both"/>
      </w:pPr>
      <w:r w:rsidRPr="00D50E91">
        <w:t>(1) Az R. 281. § (1) bekezdés c) és d) pontja helyébe a következő rendelkezés lép:</w:t>
      </w:r>
    </w:p>
    <w:p w:rsidR="00C9769F" w:rsidRPr="00D50E91" w:rsidRDefault="00C9769F" w:rsidP="00C9769F">
      <w:pPr>
        <w:jc w:val="both"/>
      </w:pPr>
    </w:p>
    <w:p w:rsidR="00C9769F" w:rsidRPr="00D50E91" w:rsidRDefault="00C9769F" w:rsidP="00C9769F">
      <w:pPr>
        <w:jc w:val="both"/>
        <w:rPr>
          <w:i/>
        </w:rPr>
      </w:pPr>
      <w:r w:rsidRPr="00D50E91">
        <w:rPr>
          <w:i/>
        </w:rPr>
        <w:t>[A norma szerinti villámvédelemről szóló műszaki követelmény hatálya alá tartozó villámvédelemmel ellátott építmények, szabadterek esetében a villámvédelem felülvizsgálatát]</w:t>
      </w:r>
    </w:p>
    <w:p w:rsidR="00C9769F" w:rsidRPr="00D50E91" w:rsidRDefault="00C9769F" w:rsidP="00C9769F">
      <w:pPr>
        <w:jc w:val="both"/>
      </w:pPr>
      <w:r w:rsidRPr="00D50E91">
        <w:t>„c) az LPS I és LPS II fokozat esetén legalább 3 évenként,</w:t>
      </w:r>
    </w:p>
    <w:p w:rsidR="00C9769F" w:rsidRPr="00D50E91" w:rsidRDefault="00C9769F" w:rsidP="00C9769F">
      <w:pPr>
        <w:jc w:val="both"/>
      </w:pPr>
      <w:r w:rsidRPr="00D50E91">
        <w:t>d) a c) pont alá nem tartozó egyéb esetben legalább 6 évenként, és”</w:t>
      </w:r>
    </w:p>
    <w:p w:rsidR="00C9769F" w:rsidRPr="00D50E91" w:rsidRDefault="00C9769F" w:rsidP="00C9769F">
      <w:pPr>
        <w:jc w:val="both"/>
      </w:pPr>
    </w:p>
    <w:p w:rsidR="00C9769F" w:rsidRPr="00D50E91" w:rsidRDefault="00C9769F" w:rsidP="00C9769F">
      <w:pPr>
        <w:jc w:val="both"/>
      </w:pPr>
      <w:r w:rsidRPr="00D50E91">
        <w:t>(2) Az R. 281. § (1) bekezdése a következő e) ponttal egészül ki:</w:t>
      </w:r>
    </w:p>
    <w:p w:rsidR="00C9769F" w:rsidRPr="00D50E91" w:rsidRDefault="00C9769F" w:rsidP="00C9769F">
      <w:pPr>
        <w:jc w:val="both"/>
      </w:pPr>
    </w:p>
    <w:p w:rsidR="00C9769F" w:rsidRPr="00D50E91" w:rsidRDefault="00C9769F" w:rsidP="00C9769F">
      <w:pPr>
        <w:jc w:val="both"/>
        <w:rPr>
          <w:i/>
        </w:rPr>
      </w:pPr>
      <w:r w:rsidRPr="00D50E91">
        <w:rPr>
          <w:i/>
        </w:rPr>
        <w:t>[A norma szerinti villámvédelemről szóló műszaki követelmény hatálya alá tartozó villámvédelemmel ellátott építmények, szabadterek esetében a villámvédelem felülvizsgálatát]</w:t>
      </w:r>
    </w:p>
    <w:p w:rsidR="00C9769F" w:rsidRPr="00D50E91" w:rsidRDefault="00C9769F" w:rsidP="00C9769F">
      <w:pPr>
        <w:jc w:val="both"/>
      </w:pPr>
      <w:r w:rsidRPr="00D50E91">
        <w:t>„e) a villámvédelem vagy az építmény átalakítását, bővítését és a vonatkozó műszaki követelményben foglalt különleges eseményt követően”</w:t>
      </w:r>
    </w:p>
    <w:p w:rsidR="00C9769F" w:rsidRPr="00D50E91" w:rsidRDefault="00C9769F" w:rsidP="00C9769F">
      <w:pPr>
        <w:jc w:val="both"/>
        <w:rPr>
          <w:i/>
        </w:rPr>
      </w:pPr>
      <w:r w:rsidRPr="00D50E91">
        <w:rPr>
          <w:i/>
        </w:rPr>
        <w:t>[kell elvégezni]</w:t>
      </w:r>
    </w:p>
    <w:p w:rsidR="00C9769F" w:rsidRPr="00D50E91" w:rsidRDefault="00C9769F" w:rsidP="00C9769F">
      <w:pPr>
        <w:jc w:val="both"/>
      </w:pPr>
    </w:p>
    <w:p w:rsidR="00C9769F" w:rsidRPr="00D50E91" w:rsidRDefault="00C9769F" w:rsidP="00C9769F">
      <w:pPr>
        <w:keepNext/>
        <w:numPr>
          <w:ilvl w:val="0"/>
          <w:numId w:val="2"/>
        </w:numPr>
        <w:spacing w:line="276" w:lineRule="auto"/>
        <w:ind w:left="0" w:firstLine="0"/>
        <w:jc w:val="center"/>
        <w:outlineLvl w:val="1"/>
        <w:rPr>
          <w:b/>
          <w:bCs/>
        </w:rPr>
      </w:pPr>
      <w:r w:rsidRPr="00D50E91">
        <w:rPr>
          <w:b/>
          <w:bCs/>
        </w:rPr>
        <w:t>§</w:t>
      </w:r>
    </w:p>
    <w:p w:rsidR="00C9769F" w:rsidRPr="00D50E91" w:rsidRDefault="00C9769F" w:rsidP="00C9769F">
      <w:pPr>
        <w:jc w:val="both"/>
      </w:pPr>
    </w:p>
    <w:p w:rsidR="00C9769F" w:rsidRPr="00D50E91" w:rsidRDefault="00C9769F" w:rsidP="00C9769F">
      <w:pPr>
        <w:jc w:val="both"/>
      </w:pPr>
      <w:r w:rsidRPr="00D50E91">
        <w:t>Az R. 282. § (1) bekezdés f) pontja helyébe a következő rendelkezés lép és a következő g) ponttal egészül ki:</w:t>
      </w:r>
    </w:p>
    <w:p w:rsidR="00C9769F" w:rsidRPr="00D50E91" w:rsidRDefault="00C9769F" w:rsidP="00C9769F">
      <w:pPr>
        <w:jc w:val="both"/>
      </w:pPr>
    </w:p>
    <w:p w:rsidR="00C9769F" w:rsidRPr="00D50E91" w:rsidRDefault="00C9769F" w:rsidP="00C9769F">
      <w:pPr>
        <w:jc w:val="both"/>
        <w:rPr>
          <w:i/>
        </w:rPr>
      </w:pPr>
      <w:r w:rsidRPr="00D50E91">
        <w:rPr>
          <w:i/>
        </w:rPr>
        <w:t>[Az építmény használatbavételét követő 60 napon belül az építmény tulajdonosának, társasház esetén a társasháznak az építményre vonatkozó Tűzvédelmi Műszaki Megfelelőségi Kézikönyvvel (a továbbiakban: TMMK) kell rendelkeznie]</w:t>
      </w:r>
    </w:p>
    <w:p w:rsidR="00C9769F" w:rsidRPr="00D50E91" w:rsidRDefault="00C9769F" w:rsidP="00C9769F">
      <w:pPr>
        <w:jc w:val="both"/>
      </w:pPr>
      <w:r w:rsidRPr="00D50E91">
        <w:t>„f) speciális építménynek minősülő közúti alagút, valamint felszín alatti vasút, vagy</w:t>
      </w:r>
    </w:p>
    <w:p w:rsidR="00C9769F" w:rsidRPr="00D50E91" w:rsidRDefault="00C9769F" w:rsidP="00C9769F">
      <w:pPr>
        <w:jc w:val="both"/>
      </w:pPr>
      <w:r w:rsidRPr="00D50E91">
        <w:t>g) a b)</w:t>
      </w:r>
      <w:r w:rsidR="003528A8">
        <w:t>-</w:t>
      </w:r>
      <w:r w:rsidRPr="00D50E91">
        <w:t>e) pontban felsorolt rendeltetésű meglévő épületek, ott meghatározott alapterületet meghaladó bővítése</w:t>
      </w:r>
    </w:p>
    <w:p w:rsidR="00C9769F" w:rsidRPr="00D50E91" w:rsidRDefault="00C9769F" w:rsidP="00C9769F">
      <w:pPr>
        <w:jc w:val="both"/>
        <w:rPr>
          <w:i/>
        </w:rPr>
      </w:pPr>
      <w:r w:rsidRPr="00D50E91">
        <w:rPr>
          <w:i/>
        </w:rPr>
        <w:t>[esetében.]”</w:t>
      </w:r>
    </w:p>
    <w:p w:rsidR="00C9769F" w:rsidRPr="00D50E91" w:rsidRDefault="00C9769F" w:rsidP="00C9769F">
      <w:pPr>
        <w:jc w:val="both"/>
      </w:pPr>
    </w:p>
    <w:p w:rsidR="00C9769F" w:rsidRPr="00D50E91" w:rsidRDefault="00C9769F" w:rsidP="00C9769F">
      <w:pPr>
        <w:keepNext/>
        <w:numPr>
          <w:ilvl w:val="0"/>
          <w:numId w:val="2"/>
        </w:numPr>
        <w:spacing w:line="276" w:lineRule="auto"/>
        <w:ind w:left="0" w:firstLine="0"/>
        <w:jc w:val="center"/>
        <w:outlineLvl w:val="1"/>
        <w:rPr>
          <w:b/>
          <w:bCs/>
        </w:rPr>
      </w:pPr>
      <w:r w:rsidRPr="00D50E91">
        <w:rPr>
          <w:b/>
          <w:bCs/>
        </w:rPr>
        <w:t>§</w:t>
      </w:r>
    </w:p>
    <w:p w:rsidR="00C9769F" w:rsidRPr="00D50E91" w:rsidRDefault="00C9769F" w:rsidP="00C9769F">
      <w:pPr>
        <w:jc w:val="both"/>
      </w:pPr>
      <w:r w:rsidRPr="00D50E91">
        <w:t>Az R.</w:t>
      </w:r>
    </w:p>
    <w:p w:rsidR="00C9769F" w:rsidRPr="00D50E91" w:rsidRDefault="00C9769F" w:rsidP="00C9769F">
      <w:pPr>
        <w:jc w:val="both"/>
      </w:pPr>
      <w:r w:rsidRPr="00D50E91">
        <w:t xml:space="preserve">a) 1. melléklete helyébe az </w:t>
      </w:r>
      <w:r w:rsidRPr="00D50E91">
        <w:rPr>
          <w:i/>
        </w:rPr>
        <w:t>1. melléklet</w:t>
      </w:r>
      <w:r w:rsidRPr="00D50E91">
        <w:t>,</w:t>
      </w:r>
    </w:p>
    <w:p w:rsidR="00C9769F" w:rsidRPr="00D50E91" w:rsidRDefault="00C9769F" w:rsidP="00C9769F">
      <w:pPr>
        <w:jc w:val="both"/>
      </w:pPr>
      <w:r w:rsidRPr="00D50E91">
        <w:t xml:space="preserve">b) 2. melléklete helyébe a </w:t>
      </w:r>
      <w:r w:rsidRPr="00D50E91">
        <w:rPr>
          <w:i/>
        </w:rPr>
        <w:t>2. melléklet</w:t>
      </w:r>
      <w:r w:rsidRPr="00D50E91">
        <w:t>,</w:t>
      </w:r>
    </w:p>
    <w:p w:rsidR="00C9769F" w:rsidRPr="00D50E91" w:rsidRDefault="00C9769F" w:rsidP="00C9769F">
      <w:pPr>
        <w:jc w:val="both"/>
      </w:pPr>
      <w:r w:rsidRPr="00D50E91">
        <w:t xml:space="preserve">c) 3. melléklete helyébe a </w:t>
      </w:r>
      <w:r w:rsidRPr="00D50E91">
        <w:rPr>
          <w:i/>
        </w:rPr>
        <w:t>3. melléklet</w:t>
      </w:r>
      <w:r w:rsidRPr="00D50E91">
        <w:t>,</w:t>
      </w:r>
    </w:p>
    <w:p w:rsidR="00C9769F" w:rsidRPr="00D50E91" w:rsidRDefault="00C9769F" w:rsidP="00C9769F">
      <w:pPr>
        <w:jc w:val="both"/>
      </w:pPr>
      <w:r w:rsidRPr="00D50E91">
        <w:lastRenderedPageBreak/>
        <w:t xml:space="preserve">d) 5. melléklete helyébe a </w:t>
      </w:r>
      <w:r w:rsidRPr="00D50E91">
        <w:rPr>
          <w:i/>
        </w:rPr>
        <w:t>4. melléklet</w:t>
      </w:r>
      <w:r w:rsidRPr="00D50E91">
        <w:t>,</w:t>
      </w:r>
    </w:p>
    <w:p w:rsidR="00C9769F" w:rsidRPr="00D50E91" w:rsidRDefault="00C9769F" w:rsidP="00C9769F">
      <w:pPr>
        <w:jc w:val="both"/>
      </w:pPr>
      <w:r w:rsidRPr="00D50E91">
        <w:t xml:space="preserve">e) 7. melléklete helyébe a </w:t>
      </w:r>
      <w:r w:rsidRPr="00D50E91">
        <w:rPr>
          <w:i/>
        </w:rPr>
        <w:t>5. melléklet</w:t>
      </w:r>
      <w:r w:rsidRPr="00D50E91">
        <w:t>,</w:t>
      </w:r>
    </w:p>
    <w:p w:rsidR="00C9769F" w:rsidRPr="00D50E91" w:rsidRDefault="00C9769F" w:rsidP="00C9769F">
      <w:pPr>
        <w:jc w:val="both"/>
      </w:pPr>
      <w:r w:rsidRPr="00D50E91">
        <w:t xml:space="preserve">f) 8. melléklete helyébe a </w:t>
      </w:r>
      <w:r w:rsidRPr="00D50E91">
        <w:rPr>
          <w:i/>
        </w:rPr>
        <w:t>6. melléklet,</w:t>
      </w:r>
    </w:p>
    <w:p w:rsidR="00C9769F" w:rsidRPr="00D50E91" w:rsidRDefault="00C9769F" w:rsidP="00C9769F">
      <w:pPr>
        <w:jc w:val="both"/>
        <w:rPr>
          <w:i/>
        </w:rPr>
      </w:pPr>
      <w:r w:rsidRPr="00D50E91">
        <w:t>g) 9. melléklete helyébe a 7</w:t>
      </w:r>
      <w:r w:rsidRPr="00D50E91">
        <w:rPr>
          <w:i/>
        </w:rPr>
        <w:t>. melléklet,</w:t>
      </w:r>
    </w:p>
    <w:p w:rsidR="00C9769F" w:rsidRPr="00D50E91" w:rsidRDefault="00C9769F" w:rsidP="00C9769F">
      <w:pPr>
        <w:jc w:val="both"/>
        <w:rPr>
          <w:i/>
        </w:rPr>
      </w:pPr>
      <w:r w:rsidRPr="00D50E91">
        <w:t>h) 12. melléklete helyébe a</w:t>
      </w:r>
      <w:r w:rsidRPr="00D50E91">
        <w:rPr>
          <w:i/>
        </w:rPr>
        <w:t xml:space="preserve"> 8. melléklet,</w:t>
      </w:r>
    </w:p>
    <w:p w:rsidR="00C9769F" w:rsidRPr="00D50E91" w:rsidRDefault="00C9769F" w:rsidP="00C9769F">
      <w:pPr>
        <w:jc w:val="both"/>
        <w:rPr>
          <w:i/>
        </w:rPr>
      </w:pPr>
      <w:r w:rsidRPr="00D50E91">
        <w:t>i) 14. melléklete helyébe a</w:t>
      </w:r>
      <w:r w:rsidRPr="00D50E91">
        <w:rPr>
          <w:i/>
        </w:rPr>
        <w:t xml:space="preserve"> 9. melléklet,</w:t>
      </w:r>
    </w:p>
    <w:p w:rsidR="00C9769F" w:rsidRPr="00D50E91" w:rsidRDefault="00C9769F" w:rsidP="00C9769F">
      <w:pPr>
        <w:jc w:val="both"/>
        <w:rPr>
          <w:i/>
        </w:rPr>
      </w:pPr>
      <w:r w:rsidRPr="00D50E91">
        <w:t xml:space="preserve">j) 15. melléklete helyébe a </w:t>
      </w:r>
      <w:r w:rsidRPr="00D50E91">
        <w:rPr>
          <w:i/>
        </w:rPr>
        <w:t>10. melléklet,</w:t>
      </w:r>
    </w:p>
    <w:p w:rsidR="00C9769F" w:rsidRPr="00D50E91" w:rsidRDefault="00C9769F" w:rsidP="00C9769F">
      <w:pPr>
        <w:jc w:val="both"/>
      </w:pPr>
      <w:r w:rsidRPr="00D50E91">
        <w:t xml:space="preserve">k) 16. melléklete helyébe a </w:t>
      </w:r>
      <w:r w:rsidRPr="00D50E91">
        <w:rPr>
          <w:i/>
        </w:rPr>
        <w:t>11. melléklet</w:t>
      </w:r>
      <w:r w:rsidRPr="00D50E91">
        <w:t>,</w:t>
      </w:r>
    </w:p>
    <w:p w:rsidR="00C9769F" w:rsidRPr="00D50E91" w:rsidRDefault="00C9769F" w:rsidP="00C9769F">
      <w:pPr>
        <w:jc w:val="both"/>
      </w:pPr>
      <w:r w:rsidRPr="00D50E91">
        <w:t xml:space="preserve">l) 17. melléklete helyébe a </w:t>
      </w:r>
      <w:r w:rsidRPr="00D50E91">
        <w:rPr>
          <w:i/>
        </w:rPr>
        <w:t>12. melléklet</w:t>
      </w:r>
      <w:r w:rsidRPr="00D50E91">
        <w:t>,</w:t>
      </w:r>
    </w:p>
    <w:p w:rsidR="00C9769F" w:rsidRPr="00D50E91" w:rsidRDefault="00C9769F" w:rsidP="00C9769F">
      <w:pPr>
        <w:jc w:val="both"/>
      </w:pPr>
      <w:r w:rsidRPr="00D50E91">
        <w:t xml:space="preserve">m) 18. melléklet helyébe a </w:t>
      </w:r>
      <w:r w:rsidRPr="00D50E91">
        <w:rPr>
          <w:i/>
        </w:rPr>
        <w:t>13. melléklet</w:t>
      </w:r>
    </w:p>
    <w:p w:rsidR="00C9769F" w:rsidRPr="00D50E91" w:rsidRDefault="00C9769F" w:rsidP="00C9769F">
      <w:pPr>
        <w:jc w:val="both"/>
      </w:pPr>
      <w:r w:rsidRPr="00D50E91">
        <w:t>lép.</w:t>
      </w:r>
    </w:p>
    <w:p w:rsidR="005B415B" w:rsidRPr="00D50E91" w:rsidRDefault="005B415B" w:rsidP="00B76098">
      <w:pPr>
        <w:autoSpaceDE w:val="0"/>
        <w:autoSpaceDN w:val="0"/>
        <w:adjustRightInd w:val="0"/>
        <w:jc w:val="both"/>
      </w:pPr>
    </w:p>
    <w:p w:rsidR="00854875" w:rsidRPr="00D50E91" w:rsidRDefault="00854875" w:rsidP="00854875">
      <w:pPr>
        <w:keepNext/>
        <w:numPr>
          <w:ilvl w:val="0"/>
          <w:numId w:val="2"/>
        </w:numPr>
        <w:spacing w:line="276" w:lineRule="auto"/>
        <w:ind w:left="0" w:firstLine="0"/>
        <w:jc w:val="center"/>
        <w:outlineLvl w:val="1"/>
        <w:rPr>
          <w:b/>
          <w:bCs/>
        </w:rPr>
      </w:pPr>
      <w:r w:rsidRPr="00D50E91">
        <w:rPr>
          <w:b/>
          <w:bCs/>
        </w:rPr>
        <w:t>§</w:t>
      </w:r>
    </w:p>
    <w:p w:rsidR="00854875" w:rsidRPr="00D50E91" w:rsidRDefault="00854875" w:rsidP="00854875">
      <w:pPr>
        <w:autoSpaceDE w:val="0"/>
        <w:autoSpaceDN w:val="0"/>
        <w:adjustRightInd w:val="0"/>
        <w:jc w:val="both"/>
      </w:pPr>
    </w:p>
    <w:p w:rsidR="00854875" w:rsidRPr="00D50E91" w:rsidRDefault="00854875" w:rsidP="00854875">
      <w:pPr>
        <w:autoSpaceDE w:val="0"/>
        <w:autoSpaceDN w:val="0"/>
        <w:adjustRightInd w:val="0"/>
        <w:jc w:val="both"/>
      </w:pPr>
      <w:r w:rsidRPr="00D50E91">
        <w:t>(1) Az R. 4. § (2) bekezdés</w:t>
      </w:r>
    </w:p>
    <w:p w:rsidR="00854875" w:rsidRPr="00D50E91" w:rsidRDefault="00854875" w:rsidP="00854875">
      <w:pPr>
        <w:pStyle w:val="Listaszerbekezds"/>
        <w:numPr>
          <w:ilvl w:val="0"/>
          <w:numId w:val="3"/>
        </w:numPr>
        <w:autoSpaceDE w:val="0"/>
        <w:autoSpaceDN w:val="0"/>
        <w:adjustRightInd w:val="0"/>
        <w:ind w:left="426" w:hanging="426"/>
        <w:jc w:val="both"/>
      </w:pPr>
      <w:r w:rsidRPr="00D50E91">
        <w:t>6., 34., 109. pontjában a „tűzállósági határértékkel” szövegrész helyébe a „tűzállósági teljesítménnyel” szöveg,</w:t>
      </w:r>
    </w:p>
    <w:p w:rsidR="00854875" w:rsidRPr="00D50E91" w:rsidRDefault="00854875" w:rsidP="00854875">
      <w:pPr>
        <w:pStyle w:val="Listaszerbekezds"/>
        <w:numPr>
          <w:ilvl w:val="0"/>
          <w:numId w:val="3"/>
        </w:numPr>
        <w:autoSpaceDE w:val="0"/>
        <w:autoSpaceDN w:val="0"/>
        <w:adjustRightInd w:val="0"/>
        <w:ind w:left="426" w:hanging="426"/>
        <w:jc w:val="both"/>
      </w:pPr>
      <w:r w:rsidRPr="00D50E91">
        <w:t>9. pontjában az „átrium” szövegrész helyébe a „fedett átrium” szöveg,</w:t>
      </w:r>
    </w:p>
    <w:p w:rsidR="00854875" w:rsidRPr="00D50E91" w:rsidRDefault="00854875" w:rsidP="00854875">
      <w:pPr>
        <w:pStyle w:val="Listaszerbekezds"/>
        <w:numPr>
          <w:ilvl w:val="0"/>
          <w:numId w:val="3"/>
        </w:numPr>
        <w:autoSpaceDE w:val="0"/>
        <w:autoSpaceDN w:val="0"/>
        <w:adjustRightInd w:val="0"/>
        <w:ind w:left="426" w:hanging="426"/>
        <w:jc w:val="both"/>
      </w:pPr>
      <w:r w:rsidRPr="00D50E91">
        <w:t>46. pontjában a „szellőzővezetékbe” szövegrész helyébe a „füstelvezető és füstelvezetéshez, füstmentesítéshez szükséges légpótló légcsatornába” szöveg,</w:t>
      </w:r>
    </w:p>
    <w:p w:rsidR="00854875" w:rsidRPr="00D50E91" w:rsidRDefault="00854875" w:rsidP="00854875">
      <w:pPr>
        <w:pStyle w:val="Listaszerbekezds"/>
        <w:numPr>
          <w:ilvl w:val="0"/>
          <w:numId w:val="3"/>
        </w:numPr>
        <w:autoSpaceDE w:val="0"/>
        <w:autoSpaceDN w:val="0"/>
        <w:adjustRightInd w:val="0"/>
        <w:ind w:left="426" w:hanging="426"/>
        <w:jc w:val="both"/>
      </w:pPr>
      <w:r w:rsidRPr="00D50E91">
        <w:t>49. pontjában az „építményszerkezet” szövegrész helyébe az „építési termék, építményszerkezet” szöveg,</w:t>
      </w:r>
    </w:p>
    <w:p w:rsidR="00854875" w:rsidRPr="00D50E91" w:rsidRDefault="00854875" w:rsidP="00854875">
      <w:pPr>
        <w:pStyle w:val="Listaszerbekezds"/>
        <w:numPr>
          <w:ilvl w:val="0"/>
          <w:numId w:val="3"/>
        </w:numPr>
        <w:autoSpaceDE w:val="0"/>
        <w:autoSpaceDN w:val="0"/>
        <w:adjustRightInd w:val="0"/>
        <w:ind w:left="426" w:hanging="426"/>
        <w:jc w:val="both"/>
      </w:pPr>
      <w:r w:rsidRPr="00D50E91">
        <w:t>51. pontjában a „veszélyes mértékű” szövegrész helyébe a „menekülésre nézve veszélyes mértékű” szöveg,</w:t>
      </w:r>
    </w:p>
    <w:p w:rsidR="00854875" w:rsidRPr="00D50E91" w:rsidRDefault="00854875" w:rsidP="00854875">
      <w:pPr>
        <w:pStyle w:val="Listaszerbekezds"/>
        <w:numPr>
          <w:ilvl w:val="0"/>
          <w:numId w:val="3"/>
        </w:numPr>
        <w:autoSpaceDE w:val="0"/>
        <w:autoSpaceDN w:val="0"/>
        <w:adjustRightInd w:val="0"/>
        <w:ind w:left="426" w:hanging="426"/>
        <w:jc w:val="both"/>
      </w:pPr>
      <w:r w:rsidRPr="00D50E91">
        <w:t>66. pontjában az „működtetését” szövegrész helyébe az „működtetését, valamint a füstszakaszolást” szöveg,</w:t>
      </w:r>
    </w:p>
    <w:p w:rsidR="00854875" w:rsidRPr="00D50E91" w:rsidRDefault="00854875" w:rsidP="00854875">
      <w:pPr>
        <w:pStyle w:val="Listaszerbekezds"/>
        <w:numPr>
          <w:ilvl w:val="0"/>
          <w:numId w:val="3"/>
        </w:numPr>
        <w:autoSpaceDE w:val="0"/>
        <w:autoSpaceDN w:val="0"/>
        <w:adjustRightInd w:val="0"/>
        <w:ind w:left="426" w:hanging="426"/>
        <w:jc w:val="both"/>
      </w:pPr>
      <w:r w:rsidRPr="00D50E91">
        <w:t>75. és 76. pontjában a „menekülés” szövegrész helyébe a „kiürítés” szöveg,</w:t>
      </w:r>
    </w:p>
    <w:p w:rsidR="00854875" w:rsidRPr="00D50E91" w:rsidRDefault="00854875" w:rsidP="00854875">
      <w:pPr>
        <w:pStyle w:val="Listaszerbekezds"/>
        <w:numPr>
          <w:ilvl w:val="0"/>
          <w:numId w:val="3"/>
        </w:numPr>
        <w:autoSpaceDE w:val="0"/>
        <w:autoSpaceDN w:val="0"/>
        <w:adjustRightInd w:val="0"/>
        <w:ind w:left="426" w:hanging="426"/>
        <w:jc w:val="both"/>
      </w:pPr>
      <w:r w:rsidRPr="00D50E91">
        <w:t>83. pontjában az „átriumnak” szövegrész helyébe a „fedett átriumnak” szöveg,</w:t>
      </w:r>
    </w:p>
    <w:p w:rsidR="00854875" w:rsidRPr="00D50E91" w:rsidRDefault="00854875" w:rsidP="00854875">
      <w:pPr>
        <w:pStyle w:val="Listaszerbekezds"/>
        <w:numPr>
          <w:ilvl w:val="0"/>
          <w:numId w:val="3"/>
        </w:numPr>
        <w:autoSpaceDE w:val="0"/>
        <w:autoSpaceDN w:val="0"/>
        <w:adjustRightInd w:val="0"/>
        <w:ind w:left="426" w:hanging="426"/>
        <w:jc w:val="both"/>
      </w:pPr>
      <w:r w:rsidRPr="00D50E91">
        <w:t>110. pontjában a „szabvány” szövegrész helyébe a „szabványsorozat” szöveg,</w:t>
      </w:r>
    </w:p>
    <w:p w:rsidR="00854875" w:rsidRPr="00D50E91" w:rsidRDefault="00854875" w:rsidP="00854875">
      <w:pPr>
        <w:pStyle w:val="Listaszerbekezds"/>
        <w:numPr>
          <w:ilvl w:val="0"/>
          <w:numId w:val="3"/>
        </w:numPr>
        <w:autoSpaceDE w:val="0"/>
        <w:autoSpaceDN w:val="0"/>
        <w:adjustRightInd w:val="0"/>
        <w:ind w:left="426" w:hanging="426"/>
        <w:jc w:val="both"/>
      </w:pPr>
      <w:r w:rsidRPr="00D50E91">
        <w:t>119. pontjában a „robbanásveszélyes” szövegrész helyébe a „fokozottan tűz</w:t>
      </w:r>
      <w:r w:rsidR="003528A8">
        <w:t>-</w:t>
      </w:r>
      <w:r w:rsidRPr="00D50E91">
        <w:t xml:space="preserve"> vagy robbanásveszélyes, </w:t>
      </w:r>
    </w:p>
    <w:p w:rsidR="00854875" w:rsidRPr="00D50E91" w:rsidRDefault="00854875" w:rsidP="00854875">
      <w:pPr>
        <w:pStyle w:val="Listaszerbekezds"/>
        <w:numPr>
          <w:ilvl w:val="0"/>
          <w:numId w:val="3"/>
        </w:numPr>
        <w:autoSpaceDE w:val="0"/>
        <w:autoSpaceDN w:val="0"/>
        <w:adjustRightInd w:val="0"/>
        <w:ind w:left="426" w:hanging="426"/>
        <w:jc w:val="both"/>
      </w:pPr>
      <w:r w:rsidRPr="00D50E91">
        <w:t>119. pontjában az „anyag” szövegrész helyébe az „anyag vagy keverék” szöveg,</w:t>
      </w:r>
    </w:p>
    <w:p w:rsidR="00854875" w:rsidRPr="00D50E91" w:rsidRDefault="00854875" w:rsidP="00854875">
      <w:pPr>
        <w:pStyle w:val="Listaszerbekezds"/>
        <w:numPr>
          <w:ilvl w:val="0"/>
          <w:numId w:val="3"/>
        </w:numPr>
        <w:autoSpaceDE w:val="0"/>
        <w:autoSpaceDN w:val="0"/>
        <w:adjustRightInd w:val="0"/>
        <w:ind w:left="426" w:hanging="426"/>
        <w:jc w:val="both"/>
      </w:pPr>
      <w:r w:rsidRPr="00D50E91">
        <w:t>140. pontjában a „60” szövegrész helyébe a „80” szöveg,</w:t>
      </w:r>
    </w:p>
    <w:p w:rsidR="00854875" w:rsidRPr="00D50E91" w:rsidRDefault="00854875" w:rsidP="00854875">
      <w:pPr>
        <w:pStyle w:val="Listaszerbekezds"/>
        <w:numPr>
          <w:ilvl w:val="0"/>
          <w:numId w:val="3"/>
        </w:numPr>
        <w:autoSpaceDE w:val="0"/>
        <w:autoSpaceDN w:val="0"/>
        <w:adjustRightInd w:val="0"/>
        <w:ind w:left="426" w:hanging="426"/>
        <w:jc w:val="both"/>
      </w:pPr>
      <w:r w:rsidRPr="00D50E91">
        <w:t>147. pontjában a ”villamos áram” szövegrész helyébe a „jelátvitel vagy a villamos áram” szöveg,</w:t>
      </w:r>
    </w:p>
    <w:p w:rsidR="00854875" w:rsidRPr="00D50E91" w:rsidRDefault="00854875" w:rsidP="00854875">
      <w:pPr>
        <w:pStyle w:val="Listaszerbekezds"/>
        <w:numPr>
          <w:ilvl w:val="0"/>
          <w:numId w:val="3"/>
        </w:numPr>
        <w:autoSpaceDE w:val="0"/>
        <w:autoSpaceDN w:val="0"/>
        <w:adjustRightInd w:val="0"/>
        <w:ind w:left="426" w:hanging="426"/>
        <w:jc w:val="both"/>
      </w:pPr>
      <w:r w:rsidRPr="00D50E91">
        <w:t xml:space="preserve">148. pontjában a </w:t>
      </w:r>
      <w:r w:rsidR="0020479E" w:rsidRPr="00D50E91">
        <w:t xml:space="preserve">„határérték” </w:t>
      </w:r>
      <w:r w:rsidRPr="00D50E91">
        <w:t xml:space="preserve">szövegrész helyébe a </w:t>
      </w:r>
      <w:r w:rsidR="0020479E" w:rsidRPr="00D50E91">
        <w:t xml:space="preserve">„teljesítmény” </w:t>
      </w:r>
      <w:r w:rsidRPr="00D50E91">
        <w:t>szöveg,</w:t>
      </w:r>
    </w:p>
    <w:p w:rsidR="00854875" w:rsidRPr="00D50E91" w:rsidRDefault="00854875" w:rsidP="00854875">
      <w:pPr>
        <w:pStyle w:val="Listaszerbekezds"/>
        <w:numPr>
          <w:ilvl w:val="0"/>
          <w:numId w:val="3"/>
        </w:numPr>
        <w:autoSpaceDE w:val="0"/>
        <w:autoSpaceDN w:val="0"/>
        <w:adjustRightInd w:val="0"/>
        <w:ind w:left="426" w:hanging="426"/>
        <w:jc w:val="both"/>
      </w:pPr>
      <w:r w:rsidRPr="00D50E91">
        <w:t>171. pontjában a „berendezés részegysége” szövegrész helyébe a „berendezéssel vezérelt eszköz” szöveg,</w:t>
      </w:r>
    </w:p>
    <w:p w:rsidR="00854875" w:rsidRPr="00D50E91" w:rsidRDefault="00854875" w:rsidP="00854875">
      <w:pPr>
        <w:pStyle w:val="Listaszerbekezds"/>
        <w:numPr>
          <w:ilvl w:val="0"/>
          <w:numId w:val="3"/>
        </w:numPr>
        <w:autoSpaceDE w:val="0"/>
        <w:autoSpaceDN w:val="0"/>
        <w:adjustRightInd w:val="0"/>
        <w:ind w:left="426" w:hanging="426"/>
        <w:jc w:val="both"/>
      </w:pPr>
      <w:r w:rsidRPr="00D50E91">
        <w:t>176. pontjában a „tűzterjedési vagy tűzállósági határértéket” szövegrész helyébe a „tűzterjedési határértéket vagy tűzállósági teljesítményt” szöveg</w:t>
      </w:r>
    </w:p>
    <w:p w:rsidR="00854875" w:rsidRPr="00D50E91" w:rsidRDefault="00854875" w:rsidP="00854875">
      <w:pPr>
        <w:autoSpaceDE w:val="0"/>
        <w:autoSpaceDN w:val="0"/>
        <w:adjustRightInd w:val="0"/>
        <w:jc w:val="both"/>
      </w:pPr>
      <w:r w:rsidRPr="00D50E91">
        <w:t>lép.</w:t>
      </w:r>
    </w:p>
    <w:p w:rsidR="00854875" w:rsidRPr="00D50E91" w:rsidRDefault="00854875" w:rsidP="00854875">
      <w:pPr>
        <w:autoSpaceDE w:val="0"/>
        <w:autoSpaceDN w:val="0"/>
        <w:adjustRightInd w:val="0"/>
        <w:jc w:val="both"/>
      </w:pPr>
    </w:p>
    <w:p w:rsidR="00854875" w:rsidRPr="00D50E91" w:rsidRDefault="00854875" w:rsidP="00854875">
      <w:pPr>
        <w:autoSpaceDE w:val="0"/>
        <w:autoSpaceDN w:val="0"/>
        <w:adjustRightInd w:val="0"/>
        <w:jc w:val="both"/>
      </w:pPr>
      <w:r w:rsidRPr="00D50E91">
        <w:t>(2) Az R.</w:t>
      </w:r>
    </w:p>
    <w:p w:rsidR="00854875" w:rsidRPr="00D50E91" w:rsidRDefault="00854875" w:rsidP="00854875">
      <w:pPr>
        <w:pStyle w:val="Listaszerbekezds"/>
        <w:numPr>
          <w:ilvl w:val="0"/>
          <w:numId w:val="4"/>
        </w:numPr>
        <w:autoSpaceDE w:val="0"/>
        <w:autoSpaceDN w:val="0"/>
        <w:adjustRightInd w:val="0"/>
        <w:ind w:left="426" w:hanging="426"/>
        <w:jc w:val="both"/>
      </w:pPr>
      <w:r w:rsidRPr="00D50E91">
        <w:t>16. § (1) bekezdésében az „1. táblázatban” szövegrész helyébe az „1. táblázatban, valamint a (6) és (7) bekezdésben” szöveg,</w:t>
      </w:r>
    </w:p>
    <w:p w:rsidR="00854875" w:rsidRPr="00D50E91" w:rsidRDefault="00854875" w:rsidP="00854875">
      <w:pPr>
        <w:pStyle w:val="Listaszerbekezds"/>
        <w:numPr>
          <w:ilvl w:val="0"/>
          <w:numId w:val="4"/>
        </w:numPr>
        <w:autoSpaceDE w:val="0"/>
        <w:autoSpaceDN w:val="0"/>
        <w:adjustRightInd w:val="0"/>
        <w:ind w:left="426" w:hanging="426"/>
        <w:jc w:val="both"/>
      </w:pPr>
      <w:r w:rsidRPr="00D50E91">
        <w:t>16. § (3) bekezdésében az „alapterületének” szövegrész helyébe a „földszinti alapterületének” szöveg,</w:t>
      </w:r>
    </w:p>
    <w:p w:rsidR="00854875" w:rsidRPr="00D50E91" w:rsidRDefault="00854875" w:rsidP="00854875">
      <w:pPr>
        <w:pStyle w:val="Listaszerbekezds"/>
        <w:numPr>
          <w:ilvl w:val="0"/>
          <w:numId w:val="4"/>
        </w:numPr>
        <w:autoSpaceDE w:val="0"/>
        <w:autoSpaceDN w:val="0"/>
        <w:adjustRightInd w:val="0"/>
        <w:ind w:left="426" w:hanging="426"/>
        <w:jc w:val="both"/>
      </w:pPr>
      <w:r w:rsidRPr="00D50E91">
        <w:t xml:space="preserve">16. § (4) bekezdésében a „Szintosztó födém” szövegrész helyébe az „Igazolt tűzállósági teljesítmény nélküli </w:t>
      </w:r>
      <w:r w:rsidRPr="00D50E91">
        <w:rPr>
          <w:rFonts w:ascii="Times" w:hAnsi="Times"/>
        </w:rPr>
        <w:t>szintosztó födém, lakáson belüli</w:t>
      </w:r>
      <w:r w:rsidRPr="00D50E91">
        <w:t xml:space="preserve"> galéria” szöveg,</w:t>
      </w:r>
    </w:p>
    <w:p w:rsidR="00854875" w:rsidRPr="00D50E91" w:rsidRDefault="00854875" w:rsidP="00854875">
      <w:pPr>
        <w:pStyle w:val="Listaszerbekezds"/>
        <w:numPr>
          <w:ilvl w:val="0"/>
          <w:numId w:val="4"/>
        </w:numPr>
        <w:autoSpaceDE w:val="0"/>
        <w:autoSpaceDN w:val="0"/>
        <w:adjustRightInd w:val="0"/>
        <w:ind w:left="426" w:hanging="426"/>
        <w:jc w:val="both"/>
      </w:pPr>
      <w:r w:rsidRPr="00D50E91">
        <w:lastRenderedPageBreak/>
        <w:t>17. § (5) bekezdés c) pontjában a „tárolási magasságot” szövegrész helyébe a „tárolt anyag, termék méretét minden irányban” szöveg,</w:t>
      </w:r>
    </w:p>
    <w:p w:rsidR="00854875" w:rsidRPr="00D50E91" w:rsidRDefault="00854875" w:rsidP="00854875">
      <w:pPr>
        <w:pStyle w:val="Listaszerbekezds"/>
        <w:numPr>
          <w:ilvl w:val="0"/>
          <w:numId w:val="4"/>
        </w:numPr>
        <w:autoSpaceDE w:val="0"/>
        <w:autoSpaceDN w:val="0"/>
        <w:adjustRightInd w:val="0"/>
        <w:ind w:left="426" w:hanging="426"/>
        <w:jc w:val="both"/>
      </w:pPr>
      <w:r w:rsidRPr="00D50E91">
        <w:t>19. § (1) bekezdés e) pontjában a „helyiségcsoportok között” szövegrész helyébe a „helyiségcsoportok között építményen belül” szöveg,</w:t>
      </w:r>
    </w:p>
    <w:p w:rsidR="00854875" w:rsidRPr="00D50E91" w:rsidRDefault="00854875" w:rsidP="00854875">
      <w:pPr>
        <w:pStyle w:val="Listaszerbekezds"/>
        <w:numPr>
          <w:ilvl w:val="0"/>
          <w:numId w:val="4"/>
        </w:numPr>
        <w:autoSpaceDE w:val="0"/>
        <w:autoSpaceDN w:val="0"/>
        <w:adjustRightInd w:val="0"/>
        <w:ind w:left="426" w:hanging="426"/>
        <w:jc w:val="both"/>
      </w:pPr>
      <w:r w:rsidRPr="00D50E91">
        <w:t>19. § (2) bekezdésében a „Tűz</w:t>
      </w:r>
      <w:r w:rsidR="00800EDD">
        <w:t>gátl</w:t>
      </w:r>
      <w:r w:rsidRPr="00D50E91">
        <w:t>ó építményszerkezet” szövegrész helyébe az „Építményszerkezet” szöveg,</w:t>
      </w:r>
    </w:p>
    <w:p w:rsidR="00854875" w:rsidRPr="00D50E91" w:rsidRDefault="00854875" w:rsidP="00854875">
      <w:pPr>
        <w:pStyle w:val="Listaszerbekezds"/>
        <w:numPr>
          <w:ilvl w:val="0"/>
          <w:numId w:val="4"/>
        </w:numPr>
        <w:autoSpaceDE w:val="0"/>
        <w:autoSpaceDN w:val="0"/>
        <w:adjustRightInd w:val="0"/>
        <w:ind w:left="426" w:hanging="426"/>
        <w:jc w:val="both"/>
      </w:pPr>
      <w:r w:rsidRPr="00D50E91">
        <w:t>22. § (1) bekezdés b) pontjában a „tetőn” szövegrész helyébe a „a tetőn és a nem tűzgátló födémként kialakított tetőfödémen” szöveg,</w:t>
      </w:r>
    </w:p>
    <w:p w:rsidR="00854875" w:rsidRPr="00D50E91" w:rsidRDefault="00854875" w:rsidP="00854875">
      <w:pPr>
        <w:pStyle w:val="Listaszerbekezds"/>
        <w:numPr>
          <w:ilvl w:val="0"/>
          <w:numId w:val="4"/>
        </w:numPr>
        <w:autoSpaceDE w:val="0"/>
        <w:autoSpaceDN w:val="0"/>
        <w:adjustRightInd w:val="0"/>
        <w:ind w:left="426" w:hanging="426"/>
        <w:jc w:val="both"/>
      </w:pPr>
      <w:r w:rsidRPr="00D50E91">
        <w:t>25. § (1) bekezdés a) pontjában a „kizárólag A1” szövegrész helyébe az „A1</w:t>
      </w:r>
      <w:r w:rsidR="003528A8">
        <w:t>-</w:t>
      </w:r>
      <w:r w:rsidRPr="00D50E91">
        <w:t>A2” szöveg,</w:t>
      </w:r>
    </w:p>
    <w:p w:rsidR="00854875" w:rsidRPr="00D50E91" w:rsidRDefault="00854875" w:rsidP="00854875">
      <w:pPr>
        <w:pStyle w:val="Listaszerbekezds"/>
        <w:numPr>
          <w:ilvl w:val="0"/>
          <w:numId w:val="4"/>
        </w:numPr>
        <w:autoSpaceDE w:val="0"/>
        <w:autoSpaceDN w:val="0"/>
        <w:adjustRightInd w:val="0"/>
        <w:ind w:left="426" w:hanging="426"/>
        <w:jc w:val="both"/>
      </w:pPr>
      <w:r w:rsidRPr="00D50E91">
        <w:t>25. § (2) bekezdés a) pont ae) alpontjában a „légakna” szövegrész helyébe a „légakna, légudvar” szöveg,</w:t>
      </w:r>
    </w:p>
    <w:p w:rsidR="00854875" w:rsidRPr="00D50E91" w:rsidRDefault="00854875" w:rsidP="00854875">
      <w:pPr>
        <w:pStyle w:val="Listaszerbekezds"/>
        <w:numPr>
          <w:ilvl w:val="0"/>
          <w:numId w:val="4"/>
        </w:numPr>
        <w:autoSpaceDE w:val="0"/>
        <w:autoSpaceDN w:val="0"/>
        <w:adjustRightInd w:val="0"/>
        <w:ind w:left="426" w:hanging="426"/>
        <w:jc w:val="both"/>
      </w:pPr>
      <w:r w:rsidRPr="00D50E91">
        <w:t>25. § (5) bekezdésében a „legalább 20 cm szélességű, legalább 90 kg/m3 testsűrűségű, A1 vagy A2 tűzvédelmi osztályú anyagból tűzvédelmi célú sávot” szövegrész helyébe a „tűzvédelmi célú homlokzati sávot” szöveg,</w:t>
      </w:r>
    </w:p>
    <w:p w:rsidR="00854875" w:rsidRPr="00D50E91" w:rsidRDefault="00854875" w:rsidP="00854875">
      <w:pPr>
        <w:pStyle w:val="Listaszerbekezds"/>
        <w:numPr>
          <w:ilvl w:val="0"/>
          <w:numId w:val="4"/>
        </w:numPr>
        <w:autoSpaceDE w:val="0"/>
        <w:autoSpaceDN w:val="0"/>
        <w:adjustRightInd w:val="0"/>
        <w:ind w:left="426" w:hanging="426"/>
        <w:jc w:val="both"/>
      </w:pPr>
      <w:r w:rsidRPr="00D50E91">
        <w:t>27. § (2) bekezdésében a „tűzgátló lezárás” szövegrész helyébe a „tűzgátló réskitöltő</w:t>
      </w:r>
      <w:r w:rsidR="003528A8">
        <w:t>-</w:t>
      </w:r>
      <w:r w:rsidRPr="00D50E91">
        <w:t xml:space="preserve">réslezáró rendszer”, </w:t>
      </w:r>
    </w:p>
    <w:p w:rsidR="00854875" w:rsidRPr="00D50E91" w:rsidRDefault="00854875" w:rsidP="00854875">
      <w:pPr>
        <w:pStyle w:val="Listaszerbekezds"/>
        <w:numPr>
          <w:ilvl w:val="0"/>
          <w:numId w:val="4"/>
        </w:numPr>
        <w:autoSpaceDE w:val="0"/>
        <w:autoSpaceDN w:val="0"/>
        <w:adjustRightInd w:val="0"/>
        <w:ind w:left="426" w:hanging="426"/>
        <w:jc w:val="both"/>
      </w:pPr>
      <w:r w:rsidRPr="00D50E91">
        <w:t>27. § (2) bekezdésében a „tartós” szövegrész helyébe a „tartós és vízhatlan” szöveg,</w:t>
      </w:r>
    </w:p>
    <w:p w:rsidR="00854875" w:rsidRPr="00D50E91" w:rsidRDefault="00854875" w:rsidP="00854875">
      <w:pPr>
        <w:pStyle w:val="Listaszerbekezds"/>
        <w:numPr>
          <w:ilvl w:val="0"/>
          <w:numId w:val="4"/>
        </w:numPr>
        <w:autoSpaceDE w:val="0"/>
        <w:autoSpaceDN w:val="0"/>
        <w:adjustRightInd w:val="0"/>
        <w:ind w:left="426" w:hanging="426"/>
        <w:jc w:val="both"/>
      </w:pPr>
      <w:r w:rsidRPr="00D50E91">
        <w:t>27. § (3) bekezdésében a „B</w:t>
      </w:r>
      <w:r w:rsidR="003528A8">
        <w:t>-</w:t>
      </w:r>
      <w:r w:rsidRPr="00D50E91">
        <w:t>E” szövegrész helyébe a „B</w:t>
      </w:r>
      <w:r w:rsidR="003528A8">
        <w:t>-</w:t>
      </w:r>
      <w:r w:rsidRPr="00D50E91">
        <w:t>E, B</w:t>
      </w:r>
      <w:r w:rsidRPr="00D50E91">
        <w:rPr>
          <w:vertAlign w:val="subscript"/>
        </w:rPr>
        <w:t>L</w:t>
      </w:r>
      <w:r w:rsidR="003528A8">
        <w:t>-</w:t>
      </w:r>
      <w:r w:rsidRPr="00D50E91">
        <w:t>E</w:t>
      </w:r>
      <w:r w:rsidRPr="00D50E91">
        <w:rPr>
          <w:vertAlign w:val="subscript"/>
        </w:rPr>
        <w:t>L</w:t>
      </w:r>
      <w:r w:rsidRPr="00D50E91">
        <w:t xml:space="preserve">” szöveg, </w:t>
      </w:r>
    </w:p>
    <w:p w:rsidR="00854875" w:rsidRPr="00D50E91" w:rsidRDefault="00854875" w:rsidP="00854875">
      <w:pPr>
        <w:pStyle w:val="Listaszerbekezds"/>
        <w:numPr>
          <w:ilvl w:val="0"/>
          <w:numId w:val="4"/>
        </w:numPr>
        <w:autoSpaceDE w:val="0"/>
        <w:autoSpaceDN w:val="0"/>
        <w:adjustRightInd w:val="0"/>
        <w:ind w:left="426" w:hanging="426"/>
        <w:jc w:val="both"/>
      </w:pPr>
      <w:r w:rsidRPr="00D50E91">
        <w:t>27. § (3) bekezdésében a „megegyező időtartamig” szövegrész helyébe a „megegyező időtartamig, de legfeljebb 90 percig” szöveg,</w:t>
      </w:r>
    </w:p>
    <w:p w:rsidR="00854875" w:rsidRPr="00D50E91" w:rsidRDefault="00854875" w:rsidP="00854875">
      <w:pPr>
        <w:pStyle w:val="Listaszerbekezds"/>
        <w:numPr>
          <w:ilvl w:val="0"/>
          <w:numId w:val="4"/>
        </w:numPr>
        <w:autoSpaceDE w:val="0"/>
        <w:autoSpaceDN w:val="0"/>
        <w:adjustRightInd w:val="0"/>
        <w:ind w:left="426" w:hanging="426"/>
        <w:jc w:val="both"/>
      </w:pPr>
      <w:r w:rsidRPr="00D50E91">
        <w:t>27. § (5) bekezdésében a „falazóelemekből vagy legalább 12 cm vastag vasbetonból” szövegrész helyébe a „a vezetékrendszer rögzítésére megfelelő szerkezetből” szöveg,</w:t>
      </w:r>
    </w:p>
    <w:p w:rsidR="00854875" w:rsidRPr="00D50E91" w:rsidRDefault="00854875" w:rsidP="00854875">
      <w:pPr>
        <w:pStyle w:val="Listaszerbekezds"/>
        <w:numPr>
          <w:ilvl w:val="0"/>
          <w:numId w:val="4"/>
        </w:numPr>
        <w:autoSpaceDE w:val="0"/>
        <w:autoSpaceDN w:val="0"/>
        <w:adjustRightInd w:val="0"/>
        <w:ind w:left="426" w:hanging="426"/>
        <w:jc w:val="both"/>
      </w:pPr>
      <w:r w:rsidRPr="00D50E91">
        <w:t>28. § (1) bekezdésében a „meg kell, hogy feleljen a 6. melléklet 1</w:t>
      </w:r>
      <w:r w:rsidR="003528A8">
        <w:t>-</w:t>
      </w:r>
      <w:r w:rsidRPr="00D50E91">
        <w:t>5. ábráinak” szövegrész helyébe a „biztosítja a tűzterjedés korlátozását” szöveg,</w:t>
      </w:r>
    </w:p>
    <w:p w:rsidR="00854875" w:rsidRPr="00D50E91" w:rsidRDefault="00854875" w:rsidP="00854875">
      <w:pPr>
        <w:pStyle w:val="Listaszerbekezds"/>
        <w:numPr>
          <w:ilvl w:val="0"/>
          <w:numId w:val="4"/>
        </w:numPr>
        <w:autoSpaceDE w:val="0"/>
        <w:autoSpaceDN w:val="0"/>
        <w:adjustRightInd w:val="0"/>
        <w:ind w:left="426" w:hanging="426"/>
        <w:jc w:val="both"/>
      </w:pPr>
      <w:r w:rsidRPr="00D50E91">
        <w:t>30. § (2) bekezdésében a „légtechnikai vezeték tűzgátló lezárására a beépített tűzjelző berendezés által vezérelhető tűzgátló záróelemet” szövegrész helyébe a „légtechnikai vezeték tűzgátló lezárására tűzgátló záróelem alkalmazása esetén a beépített tűzjelző berendezés által vezérelhető záróelemet” szöveg,</w:t>
      </w:r>
    </w:p>
    <w:p w:rsidR="00854875" w:rsidRPr="00D50E91" w:rsidRDefault="00854875" w:rsidP="00854875">
      <w:pPr>
        <w:pStyle w:val="Listaszerbekezds"/>
        <w:numPr>
          <w:ilvl w:val="0"/>
          <w:numId w:val="4"/>
        </w:numPr>
        <w:autoSpaceDE w:val="0"/>
        <w:autoSpaceDN w:val="0"/>
        <w:adjustRightInd w:val="0"/>
        <w:ind w:left="426" w:hanging="426"/>
        <w:jc w:val="both"/>
      </w:pPr>
      <w:r w:rsidRPr="00D50E91">
        <w:t>30. § (5) bekezdés b) pontjában a „az ajtó tömegtartózkodásra szolgáló” szövegrész helyébe az „a nyílászáró” szöveg,</w:t>
      </w:r>
    </w:p>
    <w:p w:rsidR="00854875" w:rsidRPr="00D50E91" w:rsidRDefault="00854875" w:rsidP="00854875">
      <w:pPr>
        <w:pStyle w:val="Listaszerbekezds"/>
        <w:numPr>
          <w:ilvl w:val="0"/>
          <w:numId w:val="4"/>
        </w:numPr>
        <w:autoSpaceDE w:val="0"/>
        <w:autoSpaceDN w:val="0"/>
        <w:adjustRightInd w:val="0"/>
        <w:ind w:left="426" w:hanging="426"/>
        <w:jc w:val="both"/>
      </w:pPr>
      <w:r w:rsidRPr="00D50E91">
        <w:t>31. § (6) bekezdés a) és b) pontjában a „NAK osztályú” szövegrész helyébe a „NAK mértékadó kockázati osztályú” szöveg,</w:t>
      </w:r>
    </w:p>
    <w:p w:rsidR="00854875" w:rsidRPr="00D50E91" w:rsidRDefault="00854875" w:rsidP="00854875">
      <w:pPr>
        <w:pStyle w:val="Listaszerbekezds"/>
        <w:numPr>
          <w:ilvl w:val="0"/>
          <w:numId w:val="4"/>
        </w:numPr>
        <w:autoSpaceDE w:val="0"/>
        <w:autoSpaceDN w:val="0"/>
        <w:adjustRightInd w:val="0"/>
        <w:ind w:left="426" w:hanging="426"/>
        <w:jc w:val="both"/>
      </w:pPr>
      <w:r w:rsidRPr="00D50E91">
        <w:t>31. § (6) bekezdés c) pontjában az „AK osztályú” szövegrész helyébe az „AK mértékadó kockázati osztályú” szöveg,</w:t>
      </w:r>
    </w:p>
    <w:p w:rsidR="00854875" w:rsidRPr="00D50E91" w:rsidRDefault="00854875" w:rsidP="00854875">
      <w:pPr>
        <w:pStyle w:val="Listaszerbekezds"/>
        <w:numPr>
          <w:ilvl w:val="0"/>
          <w:numId w:val="4"/>
        </w:numPr>
        <w:autoSpaceDE w:val="0"/>
        <w:autoSpaceDN w:val="0"/>
        <w:adjustRightInd w:val="0"/>
        <w:ind w:left="426" w:hanging="426"/>
        <w:jc w:val="both"/>
      </w:pPr>
      <w:r w:rsidRPr="00D50E91">
        <w:t>31. § (6) bekezdés d) pontjában a „KK, MK osztályú” szövegrész helyébe a „KK, MK mértékadó kockázati osztályú” szöveg,</w:t>
      </w:r>
    </w:p>
    <w:p w:rsidR="00854875" w:rsidRPr="00D50E91" w:rsidRDefault="00854875" w:rsidP="00854875">
      <w:pPr>
        <w:pStyle w:val="Listaszerbekezds"/>
        <w:numPr>
          <w:ilvl w:val="0"/>
          <w:numId w:val="4"/>
        </w:numPr>
        <w:autoSpaceDE w:val="0"/>
        <w:autoSpaceDN w:val="0"/>
        <w:adjustRightInd w:val="0"/>
        <w:ind w:left="426" w:hanging="426"/>
        <w:jc w:val="both"/>
      </w:pPr>
      <w:r w:rsidRPr="00D50E91">
        <w:t>32. § (1) és (3) bekezdésében a „60” szövegrész helyébe a „80” szöveg,</w:t>
      </w:r>
    </w:p>
    <w:p w:rsidR="00854875" w:rsidRPr="00D50E91" w:rsidRDefault="00854875" w:rsidP="00854875">
      <w:pPr>
        <w:pStyle w:val="Listaszerbekezds"/>
        <w:numPr>
          <w:ilvl w:val="0"/>
          <w:numId w:val="4"/>
        </w:numPr>
        <w:autoSpaceDE w:val="0"/>
        <w:autoSpaceDN w:val="0"/>
        <w:adjustRightInd w:val="0"/>
        <w:ind w:left="426" w:hanging="426"/>
        <w:jc w:val="both"/>
      </w:pPr>
      <w:r w:rsidRPr="00D50E91">
        <w:t>32. § (1) bekezdés a) pontjában és (3) bekezdésében a „hőszigetelése” szövegrész helyébe a „födémre helyezett hőszigetelése” szöveg,</w:t>
      </w:r>
    </w:p>
    <w:p w:rsidR="00854875" w:rsidRPr="00D50E91" w:rsidRDefault="00854875" w:rsidP="00854875">
      <w:pPr>
        <w:pStyle w:val="Listaszerbekezds"/>
        <w:numPr>
          <w:ilvl w:val="0"/>
          <w:numId w:val="4"/>
        </w:numPr>
        <w:autoSpaceDE w:val="0"/>
        <w:autoSpaceDN w:val="0"/>
        <w:adjustRightInd w:val="0"/>
        <w:ind w:left="426" w:hanging="426"/>
        <w:jc w:val="both"/>
      </w:pPr>
      <w:r w:rsidRPr="00D50E91">
        <w:t>34. § (3) bekezdésében, 148. § (3) bekezdés a) pontjában a „robbanásveszélyes” szövegrész helyébe a „fokozottan tűz</w:t>
      </w:r>
      <w:r w:rsidR="003528A8">
        <w:t>-</w:t>
      </w:r>
      <w:r w:rsidRPr="00D50E91">
        <w:t xml:space="preserve"> vagy robbanásveszélyes” szöveg</w:t>
      </w:r>
    </w:p>
    <w:p w:rsidR="00854875" w:rsidRPr="00D50E91" w:rsidRDefault="00854875" w:rsidP="00854875">
      <w:pPr>
        <w:pStyle w:val="Listaszerbekezds"/>
        <w:numPr>
          <w:ilvl w:val="0"/>
          <w:numId w:val="4"/>
        </w:numPr>
        <w:autoSpaceDE w:val="0"/>
        <w:autoSpaceDN w:val="0"/>
        <w:adjustRightInd w:val="0"/>
        <w:ind w:left="426" w:hanging="426"/>
        <w:jc w:val="both"/>
      </w:pPr>
      <w:r w:rsidRPr="00D50E91">
        <w:t>43. § (2) bekezdésében, a 47. § c) pontjában a „B</w:t>
      </w:r>
      <w:r w:rsidRPr="00D50E91">
        <w:rPr>
          <w:vertAlign w:val="subscript"/>
        </w:rPr>
        <w:t>fl</w:t>
      </w:r>
      <w:r w:rsidR="003528A8">
        <w:t>-</w:t>
      </w:r>
      <w:r w:rsidRPr="00D50E91">
        <w:t>s1” szövegrész helyébe a „C</w:t>
      </w:r>
      <w:r w:rsidRPr="00D50E91">
        <w:rPr>
          <w:vertAlign w:val="subscript"/>
        </w:rPr>
        <w:t>fl</w:t>
      </w:r>
      <w:r w:rsidR="003528A8">
        <w:t>-</w:t>
      </w:r>
      <w:r w:rsidRPr="00D50E91">
        <w:t>s1” szöveg,</w:t>
      </w:r>
    </w:p>
    <w:p w:rsidR="003B029E" w:rsidRPr="00D50E91" w:rsidRDefault="003B029E" w:rsidP="003B029E">
      <w:pPr>
        <w:pStyle w:val="Listaszerbekezds"/>
        <w:numPr>
          <w:ilvl w:val="0"/>
          <w:numId w:val="4"/>
        </w:numPr>
        <w:autoSpaceDE w:val="0"/>
        <w:autoSpaceDN w:val="0"/>
        <w:adjustRightInd w:val="0"/>
        <w:ind w:left="426" w:hanging="426"/>
        <w:jc w:val="both"/>
      </w:pPr>
      <w:r w:rsidRPr="00D50E91">
        <w:t>49. §</w:t>
      </w:r>
      <w:r w:rsidR="003528A8">
        <w:t>-</w:t>
      </w:r>
      <w:r w:rsidRPr="00D50E91">
        <w:t>ában a „legalább az építmény két ellentétes oldalán ki kell alakítani egy</w:t>
      </w:r>
      <w:r w:rsidR="003528A8">
        <w:t>-</w:t>
      </w:r>
      <w:r w:rsidRPr="00D50E91">
        <w:t>egy, legalább 2 méter széles ajtót” szövegrész helyébe a „alkalmas ajtót kell kialakítani” szöveg</w:t>
      </w:r>
    </w:p>
    <w:p w:rsidR="00854875" w:rsidRPr="00D50E91" w:rsidRDefault="00854875" w:rsidP="00854875">
      <w:pPr>
        <w:autoSpaceDE w:val="0"/>
        <w:autoSpaceDN w:val="0"/>
        <w:adjustRightInd w:val="0"/>
        <w:jc w:val="both"/>
      </w:pPr>
      <w:r w:rsidRPr="00D50E91">
        <w:t>lép.</w:t>
      </w:r>
    </w:p>
    <w:p w:rsidR="00854875" w:rsidRPr="00D50E91" w:rsidRDefault="00854875" w:rsidP="00854875">
      <w:pPr>
        <w:autoSpaceDE w:val="0"/>
        <w:autoSpaceDN w:val="0"/>
        <w:adjustRightInd w:val="0"/>
        <w:jc w:val="both"/>
      </w:pPr>
    </w:p>
    <w:p w:rsidR="00854875" w:rsidRPr="00D50E91" w:rsidRDefault="00854875" w:rsidP="00854875">
      <w:pPr>
        <w:autoSpaceDE w:val="0"/>
        <w:autoSpaceDN w:val="0"/>
        <w:adjustRightInd w:val="0"/>
        <w:jc w:val="both"/>
      </w:pPr>
      <w:r w:rsidRPr="00D50E91">
        <w:t>(3) Az R.</w:t>
      </w:r>
    </w:p>
    <w:p w:rsidR="00854875" w:rsidRPr="00D50E91" w:rsidRDefault="00854875" w:rsidP="00854875">
      <w:pPr>
        <w:pStyle w:val="Listaszerbekezds"/>
        <w:numPr>
          <w:ilvl w:val="0"/>
          <w:numId w:val="5"/>
        </w:numPr>
        <w:autoSpaceDE w:val="0"/>
        <w:autoSpaceDN w:val="0"/>
        <w:adjustRightInd w:val="0"/>
        <w:ind w:left="426" w:hanging="426"/>
        <w:jc w:val="both"/>
      </w:pPr>
      <w:r w:rsidRPr="00D50E91">
        <w:t>51. § (1) bekezdés a) pontjában az „a benntartózkodó” szövegrész helyébe az „az épületben, épületen tartózkodó” szöveg,</w:t>
      </w:r>
    </w:p>
    <w:p w:rsidR="00854875" w:rsidRPr="00D50E91" w:rsidRDefault="00854875" w:rsidP="00854875">
      <w:pPr>
        <w:pStyle w:val="Listaszerbekezds"/>
        <w:numPr>
          <w:ilvl w:val="0"/>
          <w:numId w:val="5"/>
        </w:numPr>
        <w:autoSpaceDE w:val="0"/>
        <w:autoSpaceDN w:val="0"/>
        <w:adjustRightInd w:val="0"/>
        <w:ind w:left="426" w:hanging="426"/>
        <w:jc w:val="both"/>
      </w:pPr>
      <w:r w:rsidRPr="00D50E91">
        <w:lastRenderedPageBreak/>
        <w:t>51. § (1) bekezdés a) pont ab) alpontjában a „távolságon” szövegrész helyébe a „távolságon vagy időtartamon” szöveg,</w:t>
      </w:r>
    </w:p>
    <w:p w:rsidR="00854875" w:rsidRPr="00D50E91" w:rsidRDefault="00854875" w:rsidP="00854875">
      <w:pPr>
        <w:pStyle w:val="Listaszerbekezds"/>
        <w:numPr>
          <w:ilvl w:val="0"/>
          <w:numId w:val="5"/>
        </w:numPr>
        <w:autoSpaceDE w:val="0"/>
        <w:autoSpaceDN w:val="0"/>
        <w:adjustRightInd w:val="0"/>
        <w:ind w:left="426" w:hanging="426"/>
        <w:jc w:val="both"/>
      </w:pPr>
      <w:r w:rsidRPr="00D50E91">
        <w:t>51. § (3) bekezdésében az „átmeneti védett térbe, ha azt önálló tűzszakaszként alakítják ki, amelyből” szövegrész helyébe az „átmeneti védett térként figyelembe vett szomszédos tűzszakaszba, ha” szöveg,</w:t>
      </w:r>
    </w:p>
    <w:p w:rsidR="00854875" w:rsidRPr="00D50E91" w:rsidRDefault="00854875" w:rsidP="00854875">
      <w:pPr>
        <w:pStyle w:val="Listaszerbekezds"/>
        <w:numPr>
          <w:ilvl w:val="0"/>
          <w:numId w:val="5"/>
        </w:numPr>
        <w:autoSpaceDE w:val="0"/>
        <w:autoSpaceDN w:val="0"/>
        <w:adjustRightInd w:val="0"/>
        <w:ind w:left="426" w:hanging="426"/>
        <w:jc w:val="both"/>
      </w:pPr>
      <w:r w:rsidRPr="00D50E91">
        <w:t>54. § (1) bekezdés a) pontjában a „biztonságos térbe” szövegrész helyébe a „biztonságos térbe vagy a kiürítés első szakaszán belül átmeneti védett térbe” szöveg,</w:t>
      </w:r>
    </w:p>
    <w:p w:rsidR="00854875" w:rsidRPr="00D50E91" w:rsidRDefault="00854875" w:rsidP="00854875">
      <w:pPr>
        <w:pStyle w:val="Listaszerbekezds"/>
        <w:numPr>
          <w:ilvl w:val="0"/>
          <w:numId w:val="5"/>
        </w:numPr>
        <w:autoSpaceDE w:val="0"/>
        <w:autoSpaceDN w:val="0"/>
        <w:adjustRightInd w:val="0"/>
        <w:ind w:left="426" w:hanging="426"/>
        <w:jc w:val="both"/>
      </w:pPr>
      <w:r w:rsidRPr="00D50E91">
        <w:t>54. § (2) és (3) bekezdésében, az 55. § (4) bekezdés nyitó szövegrészében és a) pontjában, a 80. § (3) bekezdésében, a 84. § (2) bekezdésében, a 86. § (1) bekezdés c) pontjában, a 89. § (2) bekezdésében, 125. § (1) bekezdésében, 146. § (1) bekezdés k) pontjában a „szakhatóság” szövegrész helyébe a „hatóság” szöveg,</w:t>
      </w:r>
    </w:p>
    <w:p w:rsidR="00854875" w:rsidRPr="00D50E91" w:rsidRDefault="00854875" w:rsidP="00854875">
      <w:pPr>
        <w:pStyle w:val="Listaszerbekezds"/>
        <w:numPr>
          <w:ilvl w:val="0"/>
          <w:numId w:val="5"/>
        </w:numPr>
        <w:autoSpaceDE w:val="0"/>
        <w:autoSpaceDN w:val="0"/>
        <w:adjustRightInd w:val="0"/>
        <w:ind w:left="426" w:hanging="426"/>
        <w:jc w:val="both"/>
      </w:pPr>
      <w:r w:rsidRPr="00D50E91">
        <w:t>55. § (2) bekezdésében az „adott építményszinten egyidejűleg tartózkodó, menekülésben korlátozott” szövegrész helyébe az „oda menekülő vagy menekített” szöveg,</w:t>
      </w:r>
    </w:p>
    <w:p w:rsidR="00854875" w:rsidRPr="00D50E91" w:rsidRDefault="00854875" w:rsidP="00854875">
      <w:pPr>
        <w:pStyle w:val="Listaszerbekezds"/>
        <w:numPr>
          <w:ilvl w:val="0"/>
          <w:numId w:val="5"/>
        </w:numPr>
        <w:autoSpaceDE w:val="0"/>
        <w:autoSpaceDN w:val="0"/>
        <w:adjustRightInd w:val="0"/>
        <w:ind w:left="426" w:hanging="426"/>
        <w:jc w:val="both"/>
      </w:pPr>
      <w:r w:rsidRPr="00D50E91">
        <w:t>55. § (3) bekezdésében a „végrehajtható legyen” szövegrész helyébe a „végrehajtható legyen, valamint a szintek között önálló közlekedésre nem képes személyek a tartózkodás szintjén elérhessék azt” szöveg,</w:t>
      </w:r>
    </w:p>
    <w:p w:rsidR="00854875" w:rsidRPr="00D50E91" w:rsidRDefault="00854875" w:rsidP="00854875">
      <w:pPr>
        <w:pStyle w:val="Listaszerbekezds"/>
        <w:numPr>
          <w:ilvl w:val="0"/>
          <w:numId w:val="5"/>
        </w:numPr>
        <w:autoSpaceDE w:val="0"/>
        <w:autoSpaceDN w:val="0"/>
        <w:adjustRightInd w:val="0"/>
        <w:ind w:left="426" w:hanging="426"/>
        <w:jc w:val="both"/>
      </w:pPr>
      <w:r w:rsidRPr="00D50E91">
        <w:t>56. § (2) bekezdésében az „önálló” szövegrész helyébe az „55. § (1) bekezdés b) pontja szerinti, valamint az önálló” szöveg,</w:t>
      </w:r>
    </w:p>
    <w:p w:rsidR="00854875" w:rsidRPr="00D50E91" w:rsidRDefault="00854875" w:rsidP="00854875">
      <w:pPr>
        <w:pStyle w:val="Listaszerbekezds"/>
        <w:numPr>
          <w:ilvl w:val="0"/>
          <w:numId w:val="5"/>
        </w:numPr>
        <w:autoSpaceDE w:val="0"/>
        <w:autoSpaceDN w:val="0"/>
        <w:adjustRightInd w:val="0"/>
        <w:ind w:left="426" w:hanging="426"/>
        <w:jc w:val="both"/>
      </w:pPr>
      <w:r w:rsidRPr="00D50E91">
        <w:t>56. § (2) bekezdésében az „S</w:t>
      </w:r>
      <w:r w:rsidRPr="00D50E91">
        <w:rPr>
          <w:vertAlign w:val="subscript"/>
        </w:rPr>
        <w:t>m</w:t>
      </w:r>
      <w:r w:rsidRPr="00D50E91">
        <w:t>” szövegrész helyébe az „S</w:t>
      </w:r>
      <w:r w:rsidRPr="00D50E91">
        <w:rPr>
          <w:vertAlign w:val="subscript"/>
        </w:rPr>
        <w:t>200</w:t>
      </w:r>
      <w:r w:rsidRPr="00D50E91">
        <w:t>” szöveg,</w:t>
      </w:r>
    </w:p>
    <w:p w:rsidR="00854875" w:rsidRPr="00D50E91" w:rsidRDefault="00854875" w:rsidP="00854875">
      <w:pPr>
        <w:pStyle w:val="Listaszerbekezds"/>
        <w:numPr>
          <w:ilvl w:val="0"/>
          <w:numId w:val="5"/>
        </w:numPr>
        <w:autoSpaceDE w:val="0"/>
        <w:autoSpaceDN w:val="0"/>
        <w:adjustRightInd w:val="0"/>
        <w:ind w:left="426" w:hanging="426"/>
        <w:jc w:val="both"/>
      </w:pPr>
      <w:r w:rsidRPr="00D50E91">
        <w:t>56. § (3) bekezdésében a „lépcsőházi pihenő” szövegrész helyébe a „lépcsőházi pihenő és a védett szabadlépcső pihenője” szöveg,</w:t>
      </w:r>
    </w:p>
    <w:p w:rsidR="00854875" w:rsidRPr="00D50E91" w:rsidRDefault="00854875" w:rsidP="00854875">
      <w:pPr>
        <w:pStyle w:val="Listaszerbekezds"/>
        <w:numPr>
          <w:ilvl w:val="0"/>
          <w:numId w:val="5"/>
        </w:numPr>
        <w:autoSpaceDE w:val="0"/>
        <w:autoSpaceDN w:val="0"/>
        <w:adjustRightInd w:val="0"/>
        <w:ind w:left="426" w:hanging="426"/>
        <w:jc w:val="both"/>
      </w:pPr>
      <w:r w:rsidRPr="00D50E91">
        <w:t>56. § (3) bekezdésében a „lépcsőházon belül” szövegrész helyébe a „lépcsőházon, lépcsőn belül” szöveg,</w:t>
      </w:r>
    </w:p>
    <w:p w:rsidR="00854875" w:rsidRPr="00D50E91" w:rsidRDefault="00854875" w:rsidP="00854875">
      <w:pPr>
        <w:pStyle w:val="Listaszerbekezds"/>
        <w:numPr>
          <w:ilvl w:val="0"/>
          <w:numId w:val="5"/>
        </w:numPr>
        <w:autoSpaceDE w:val="0"/>
        <w:autoSpaceDN w:val="0"/>
        <w:adjustRightInd w:val="0"/>
        <w:ind w:left="426" w:hanging="426"/>
        <w:jc w:val="both"/>
      </w:pPr>
      <w:r w:rsidRPr="00D50E91">
        <w:t>56. § (4) bekezdésében a „Tetőfödémen” szövegrész helyébe a „Tetőfödémen vagy védett kialakítású szabadlépcső pihenő részén” szöveg,</w:t>
      </w:r>
    </w:p>
    <w:p w:rsidR="00854875" w:rsidRPr="00D50E91" w:rsidRDefault="00854875" w:rsidP="00854875">
      <w:pPr>
        <w:pStyle w:val="Listaszerbekezds"/>
        <w:numPr>
          <w:ilvl w:val="0"/>
          <w:numId w:val="5"/>
        </w:numPr>
        <w:autoSpaceDE w:val="0"/>
        <w:autoSpaceDN w:val="0"/>
        <w:adjustRightInd w:val="0"/>
        <w:ind w:left="426" w:hanging="426"/>
        <w:jc w:val="both"/>
      </w:pPr>
      <w:r w:rsidRPr="00D50E91">
        <w:t>56. § (4) bekezdés a) pontjában az „(1) bekezdés a)</w:t>
      </w:r>
      <w:r w:rsidR="003528A8">
        <w:t>-</w:t>
      </w:r>
      <w:r w:rsidRPr="00D50E91">
        <w:t>c) pontja” szövegrész helyébe az „55. § (1) bekezdés a)</w:t>
      </w:r>
      <w:r w:rsidR="003528A8">
        <w:t>-</w:t>
      </w:r>
      <w:r w:rsidRPr="00D50E91">
        <w:t>c) pontja” szöveg,</w:t>
      </w:r>
    </w:p>
    <w:p w:rsidR="00854875" w:rsidRPr="00D50E91" w:rsidRDefault="00854875" w:rsidP="00854875">
      <w:pPr>
        <w:pStyle w:val="Listaszerbekezds"/>
        <w:numPr>
          <w:ilvl w:val="0"/>
          <w:numId w:val="5"/>
        </w:numPr>
        <w:autoSpaceDE w:val="0"/>
        <w:autoSpaceDN w:val="0"/>
        <w:adjustRightInd w:val="0"/>
        <w:ind w:left="426" w:hanging="426"/>
        <w:jc w:val="both"/>
      </w:pPr>
      <w:r w:rsidRPr="00D50E91">
        <w:t>57. § (2) bekezdésében a „tűzvédelmi szakhatósággal egyeztetni kell” szövegrész helyébe a „kell meghatározni” szöveg,</w:t>
      </w:r>
    </w:p>
    <w:p w:rsidR="00854875" w:rsidRPr="00D50E91" w:rsidRDefault="00854875" w:rsidP="00854875">
      <w:pPr>
        <w:pStyle w:val="Listaszerbekezds"/>
        <w:numPr>
          <w:ilvl w:val="0"/>
          <w:numId w:val="5"/>
        </w:numPr>
        <w:autoSpaceDE w:val="0"/>
        <w:autoSpaceDN w:val="0"/>
        <w:adjustRightInd w:val="0"/>
        <w:ind w:left="426" w:hanging="426"/>
        <w:jc w:val="both"/>
      </w:pPr>
      <w:r w:rsidRPr="00D50E91">
        <w:t>58. § (1) bekezdés d) pontjában az „átrium” szövegrész helyébe a „fedett átrium” szöveg,</w:t>
      </w:r>
    </w:p>
    <w:p w:rsidR="00854875" w:rsidRPr="00D50E91" w:rsidRDefault="00854875" w:rsidP="00854875">
      <w:pPr>
        <w:pStyle w:val="Listaszerbekezds"/>
        <w:numPr>
          <w:ilvl w:val="0"/>
          <w:numId w:val="5"/>
        </w:numPr>
        <w:autoSpaceDE w:val="0"/>
        <w:autoSpaceDN w:val="0"/>
        <w:adjustRightInd w:val="0"/>
        <w:ind w:left="426" w:hanging="426"/>
        <w:jc w:val="both"/>
      </w:pPr>
      <w:r w:rsidRPr="00D50E91">
        <w:t>59. § (1), (2) és (4) bekezdésében a „menekülésre” szövegrész helyébe a „kiürítésre” szöveg,</w:t>
      </w:r>
    </w:p>
    <w:p w:rsidR="00854875" w:rsidRPr="00D50E91" w:rsidRDefault="00854875" w:rsidP="00854875">
      <w:pPr>
        <w:pStyle w:val="Listaszerbekezds"/>
        <w:numPr>
          <w:ilvl w:val="0"/>
          <w:numId w:val="5"/>
        </w:numPr>
        <w:autoSpaceDE w:val="0"/>
        <w:autoSpaceDN w:val="0"/>
        <w:adjustRightInd w:val="0"/>
        <w:ind w:left="426" w:hanging="426"/>
        <w:jc w:val="both"/>
      </w:pPr>
      <w:r w:rsidRPr="00D50E91">
        <w:t>59. § (1) bekezdésében az „ajtó” szövegrész helyébe az „ajtó és az 50 főnél több személy kiürítésére szolgáló ajtó” szöveg,</w:t>
      </w:r>
    </w:p>
    <w:p w:rsidR="00854875" w:rsidRPr="00D50E91" w:rsidRDefault="00854875" w:rsidP="00854875">
      <w:pPr>
        <w:pStyle w:val="Listaszerbekezds"/>
        <w:numPr>
          <w:ilvl w:val="0"/>
          <w:numId w:val="5"/>
        </w:numPr>
        <w:autoSpaceDE w:val="0"/>
        <w:autoSpaceDN w:val="0"/>
        <w:adjustRightInd w:val="0"/>
        <w:ind w:left="426" w:hanging="426"/>
        <w:jc w:val="both"/>
      </w:pPr>
      <w:r w:rsidRPr="00D50E91">
        <w:t>61. §</w:t>
      </w:r>
      <w:r w:rsidR="003528A8">
        <w:t>-</w:t>
      </w:r>
      <w:r w:rsidRPr="00D50E91">
        <w:t>ában, a 86. § (2) bekezdésében, a 91. § (5) bekezdésében, a 116. § (8) bekezdésében, a 117. § (2) bekezdésében, 124. § (8) bekezdésében a „szakhatósággal” szövegrész helyébe a „hatósággal” szöveg,</w:t>
      </w:r>
    </w:p>
    <w:p w:rsidR="00854875" w:rsidRPr="00D50E91" w:rsidRDefault="00854875" w:rsidP="00854875">
      <w:pPr>
        <w:pStyle w:val="Listaszerbekezds"/>
        <w:numPr>
          <w:ilvl w:val="0"/>
          <w:numId w:val="5"/>
        </w:numPr>
        <w:autoSpaceDE w:val="0"/>
        <w:autoSpaceDN w:val="0"/>
        <w:adjustRightInd w:val="0"/>
        <w:ind w:left="426" w:hanging="426"/>
        <w:jc w:val="both"/>
      </w:pPr>
      <w:r w:rsidRPr="00D50E91">
        <w:t>62. § (1) bekezdés a) pontjában a „0,15 méternél” szövegrész helyébe a „15 mm</w:t>
      </w:r>
      <w:r w:rsidR="003528A8">
        <w:t>-</w:t>
      </w:r>
      <w:r w:rsidRPr="00D50E91">
        <w:t>nél” szöveg,</w:t>
      </w:r>
    </w:p>
    <w:p w:rsidR="00854875" w:rsidRPr="00D50E91" w:rsidRDefault="00854875" w:rsidP="00854875">
      <w:pPr>
        <w:pStyle w:val="Listaszerbekezds"/>
        <w:numPr>
          <w:ilvl w:val="0"/>
          <w:numId w:val="5"/>
        </w:numPr>
        <w:autoSpaceDE w:val="0"/>
        <w:autoSpaceDN w:val="0"/>
        <w:adjustRightInd w:val="0"/>
        <w:ind w:left="426" w:hanging="426"/>
        <w:jc w:val="both"/>
      </w:pPr>
      <w:r w:rsidRPr="00D50E91">
        <w:t>62. § (2) bekezdés a) pont aa) alpontjában az „50” szövegrész helyébe a „100” szöveg,</w:t>
      </w:r>
    </w:p>
    <w:p w:rsidR="00854875" w:rsidRPr="00D50E91" w:rsidRDefault="00854875" w:rsidP="00854875">
      <w:pPr>
        <w:pStyle w:val="Listaszerbekezds"/>
        <w:numPr>
          <w:ilvl w:val="0"/>
          <w:numId w:val="5"/>
        </w:numPr>
        <w:autoSpaceDE w:val="0"/>
        <w:autoSpaceDN w:val="0"/>
        <w:adjustRightInd w:val="0"/>
        <w:ind w:left="426" w:hanging="426"/>
        <w:jc w:val="both"/>
      </w:pPr>
      <w:r w:rsidRPr="00D50E91">
        <w:t>62. § (2) bekezdés b) pontjában a „20” szövegrész helyébe a „24” szöveg,</w:t>
      </w:r>
    </w:p>
    <w:p w:rsidR="00854875" w:rsidRPr="00D50E91" w:rsidRDefault="00854875" w:rsidP="00854875">
      <w:pPr>
        <w:pStyle w:val="Listaszerbekezds"/>
        <w:numPr>
          <w:ilvl w:val="0"/>
          <w:numId w:val="5"/>
        </w:numPr>
        <w:autoSpaceDE w:val="0"/>
        <w:autoSpaceDN w:val="0"/>
        <w:adjustRightInd w:val="0"/>
        <w:ind w:left="426" w:hanging="426"/>
        <w:jc w:val="both"/>
      </w:pPr>
      <w:r w:rsidRPr="00D50E91">
        <w:t>73. § (1) bekezdésében az „oltóvíztározóból” szövegrész helyébe az „oltóvíztárolóból” szöveg,</w:t>
      </w:r>
    </w:p>
    <w:p w:rsidR="00854875" w:rsidRPr="00D50E91" w:rsidRDefault="00854875" w:rsidP="00854875">
      <w:pPr>
        <w:pStyle w:val="Listaszerbekezds"/>
        <w:numPr>
          <w:ilvl w:val="0"/>
          <w:numId w:val="5"/>
        </w:numPr>
        <w:autoSpaceDE w:val="0"/>
        <w:autoSpaceDN w:val="0"/>
        <w:adjustRightInd w:val="0"/>
        <w:ind w:left="426" w:hanging="426"/>
        <w:jc w:val="both"/>
      </w:pPr>
      <w:r w:rsidRPr="00D50E91">
        <w:t>73. § (2) bekezdésében a „védendő építménytől” szövegrész helyébe a „védendő szabadtéri tárolóterülettől, építménytől” szöveg,</w:t>
      </w:r>
    </w:p>
    <w:p w:rsidR="00854875" w:rsidRPr="00D50E91" w:rsidRDefault="00854875" w:rsidP="00854875">
      <w:pPr>
        <w:pStyle w:val="Listaszerbekezds"/>
        <w:numPr>
          <w:ilvl w:val="0"/>
          <w:numId w:val="5"/>
        </w:numPr>
        <w:autoSpaceDE w:val="0"/>
        <w:autoSpaceDN w:val="0"/>
        <w:adjustRightInd w:val="0"/>
        <w:ind w:left="426" w:hanging="426"/>
        <w:jc w:val="both"/>
      </w:pPr>
      <w:r w:rsidRPr="00D50E91">
        <w:t>76. § (2) bekezdésben a „közterület tűzcsapjai” szövegrész helyébe a „közterület tűzcsapjai és a 73. § (4) bekezdése szerinti tűzcsapok” szöveg,</w:t>
      </w:r>
    </w:p>
    <w:p w:rsidR="00854875" w:rsidRPr="00D50E91" w:rsidRDefault="00854875" w:rsidP="00854875">
      <w:pPr>
        <w:pStyle w:val="Listaszerbekezds"/>
        <w:numPr>
          <w:ilvl w:val="0"/>
          <w:numId w:val="5"/>
        </w:numPr>
        <w:autoSpaceDE w:val="0"/>
        <w:autoSpaceDN w:val="0"/>
        <w:adjustRightInd w:val="0"/>
        <w:ind w:left="426" w:hanging="426"/>
        <w:jc w:val="both"/>
      </w:pPr>
      <w:r w:rsidRPr="00D50E91">
        <w:t>79. § (2) bekezdésében az „épületekben, valamint” szövegrész helyébe az „épületekben, a kizárólag növénytermesztési célú földszintes építményekben, valamint” szöveg</w:t>
      </w:r>
      <w:r w:rsidR="003B029E" w:rsidRPr="00D50E91">
        <w:t>,</w:t>
      </w:r>
    </w:p>
    <w:p w:rsidR="003B029E" w:rsidRPr="00D50E91" w:rsidRDefault="003B029E" w:rsidP="003B029E">
      <w:pPr>
        <w:pStyle w:val="Listaszerbekezds"/>
        <w:numPr>
          <w:ilvl w:val="0"/>
          <w:numId w:val="5"/>
        </w:numPr>
        <w:autoSpaceDE w:val="0"/>
        <w:autoSpaceDN w:val="0"/>
        <w:adjustRightInd w:val="0"/>
        <w:ind w:left="426" w:hanging="426"/>
        <w:jc w:val="both"/>
      </w:pPr>
      <w:r w:rsidRPr="00D50E91">
        <w:t>43. alcímében az „Oltóvíztározók” szövegrész helyébe az „Oltóvíztárolók” szöveg</w:t>
      </w:r>
    </w:p>
    <w:p w:rsidR="00854875" w:rsidRPr="00D50E91" w:rsidRDefault="00854875" w:rsidP="00854875">
      <w:pPr>
        <w:autoSpaceDE w:val="0"/>
        <w:autoSpaceDN w:val="0"/>
        <w:adjustRightInd w:val="0"/>
        <w:jc w:val="both"/>
      </w:pPr>
      <w:r w:rsidRPr="00D50E91">
        <w:t>lép.</w:t>
      </w:r>
    </w:p>
    <w:p w:rsidR="00854875" w:rsidRPr="00D50E91" w:rsidRDefault="00854875" w:rsidP="00854875">
      <w:pPr>
        <w:autoSpaceDE w:val="0"/>
        <w:autoSpaceDN w:val="0"/>
        <w:adjustRightInd w:val="0"/>
        <w:jc w:val="both"/>
      </w:pPr>
    </w:p>
    <w:p w:rsidR="00854875" w:rsidRPr="00D50E91" w:rsidRDefault="00854875" w:rsidP="00854875">
      <w:pPr>
        <w:autoSpaceDE w:val="0"/>
        <w:autoSpaceDN w:val="0"/>
        <w:adjustRightInd w:val="0"/>
        <w:jc w:val="both"/>
      </w:pPr>
      <w:r w:rsidRPr="00D50E91">
        <w:t>(4) Az R.</w:t>
      </w:r>
    </w:p>
    <w:p w:rsidR="00854875" w:rsidRPr="00D50E91" w:rsidRDefault="00854875" w:rsidP="00854875">
      <w:pPr>
        <w:pStyle w:val="Listaszerbekezds"/>
        <w:numPr>
          <w:ilvl w:val="0"/>
          <w:numId w:val="6"/>
        </w:numPr>
        <w:autoSpaceDE w:val="0"/>
        <w:autoSpaceDN w:val="0"/>
        <w:adjustRightInd w:val="0"/>
        <w:ind w:left="426" w:hanging="426"/>
        <w:jc w:val="both"/>
      </w:pPr>
      <w:r w:rsidRPr="00D50E91">
        <w:lastRenderedPageBreak/>
        <w:t>82. § (7) bekezdésében a „szívócsővezetékeket” szövegrész helyébe a „szívócsővezetékek csatlakozó csonkjait” szöveg</w:t>
      </w:r>
      <w:r w:rsidR="003B029E" w:rsidRPr="00D50E91">
        <w:t>,</w:t>
      </w:r>
    </w:p>
    <w:p w:rsidR="00854875" w:rsidRPr="00D50E91" w:rsidRDefault="00854875" w:rsidP="00854875">
      <w:pPr>
        <w:pStyle w:val="Listaszerbekezds"/>
        <w:numPr>
          <w:ilvl w:val="0"/>
          <w:numId w:val="6"/>
        </w:numPr>
        <w:autoSpaceDE w:val="0"/>
        <w:autoSpaceDN w:val="0"/>
        <w:adjustRightInd w:val="0"/>
        <w:ind w:left="426" w:hanging="426"/>
        <w:jc w:val="both"/>
      </w:pPr>
      <w:r w:rsidRPr="00D50E91">
        <w:t>84. § (2) és (3) bekezdésében a „tűzoltó</w:t>
      </w:r>
      <w:r w:rsidR="003528A8">
        <w:t>-</w:t>
      </w:r>
      <w:r w:rsidRPr="00D50E91">
        <w:t>technikai eszközök” szövegrész helyébe a „berendezések, tűzoltó</w:t>
      </w:r>
      <w:r w:rsidR="003528A8">
        <w:t>-</w:t>
      </w:r>
      <w:r w:rsidRPr="00D50E91">
        <w:t>technikai eszközök” szöveg</w:t>
      </w:r>
      <w:r w:rsidR="003B029E" w:rsidRPr="00D50E91">
        <w:t>,</w:t>
      </w:r>
    </w:p>
    <w:p w:rsidR="00854875" w:rsidRPr="00D50E91" w:rsidRDefault="00854875" w:rsidP="00854875">
      <w:pPr>
        <w:pStyle w:val="Listaszerbekezds"/>
        <w:numPr>
          <w:ilvl w:val="0"/>
          <w:numId w:val="6"/>
        </w:numPr>
        <w:autoSpaceDE w:val="0"/>
        <w:autoSpaceDN w:val="0"/>
        <w:adjustRightInd w:val="0"/>
        <w:ind w:left="426" w:hanging="426"/>
        <w:jc w:val="both"/>
      </w:pPr>
      <w:r w:rsidRPr="00D50E91">
        <w:t>86. § (1) bekezdés a) pontjában az „épületben” szövegrész helyébe az „épületben legalább a földszint és a földszint feletti építményszintek kiszolgálására” szöveg,</w:t>
      </w:r>
    </w:p>
    <w:p w:rsidR="00854875" w:rsidRPr="00D50E91" w:rsidRDefault="00854875" w:rsidP="00854875">
      <w:pPr>
        <w:pStyle w:val="Listaszerbekezds"/>
        <w:numPr>
          <w:ilvl w:val="0"/>
          <w:numId w:val="6"/>
        </w:numPr>
        <w:autoSpaceDE w:val="0"/>
        <w:autoSpaceDN w:val="0"/>
        <w:adjustRightInd w:val="0"/>
        <w:ind w:left="426" w:hanging="426"/>
        <w:jc w:val="both"/>
      </w:pPr>
      <w:r w:rsidRPr="00D50E91">
        <w:t>86. § (1) bekezdés b) pontjában az „épületben” szövegrész helyébe „az épületben legalább a földszint és a pinceszintek kiszolgálására” szöveg,</w:t>
      </w:r>
    </w:p>
    <w:p w:rsidR="00854875" w:rsidRPr="00D50E91" w:rsidRDefault="00854875" w:rsidP="00854875">
      <w:pPr>
        <w:pStyle w:val="Listaszerbekezds"/>
        <w:numPr>
          <w:ilvl w:val="0"/>
          <w:numId w:val="6"/>
        </w:numPr>
        <w:autoSpaceDE w:val="0"/>
        <w:autoSpaceDN w:val="0"/>
        <w:adjustRightInd w:val="0"/>
        <w:ind w:left="426" w:hanging="426"/>
        <w:jc w:val="both"/>
      </w:pPr>
      <w:r w:rsidRPr="00D50E91">
        <w:t>88. § (1) bekezdésében a „Hő</w:t>
      </w:r>
      <w:r w:rsidR="003528A8">
        <w:t>-</w:t>
      </w:r>
      <w:r w:rsidRPr="00D50E91">
        <w:t xml:space="preserve"> és füstelvezetést” szövegrész helyébe a „Hő</w:t>
      </w:r>
      <w:r w:rsidR="003528A8">
        <w:t>-</w:t>
      </w:r>
      <w:r w:rsidRPr="00D50E91">
        <w:t xml:space="preserve"> és füstelvezetést és az ehhez szükséges mértékű légpótlást” szöveg,</w:t>
      </w:r>
    </w:p>
    <w:p w:rsidR="00854875" w:rsidRPr="00D50E91" w:rsidRDefault="00854875" w:rsidP="00854875">
      <w:pPr>
        <w:pStyle w:val="Listaszerbekezds"/>
        <w:numPr>
          <w:ilvl w:val="0"/>
          <w:numId w:val="6"/>
        </w:numPr>
        <w:autoSpaceDE w:val="0"/>
        <w:autoSpaceDN w:val="0"/>
        <w:adjustRightInd w:val="0"/>
        <w:ind w:left="426" w:hanging="426"/>
        <w:jc w:val="both"/>
      </w:pPr>
      <w:r w:rsidRPr="00D50E91">
        <w:t>89. § (5) bekezdésében a „vezérelnie kell” szövegrész helyébe a „vezérelnie kell, kivéve, ha a helyiségben beépített tűzoltó berendezés is létesül és annak hatékony működését a tűzjelző központ általi vezérlés korlátozná” szöveg,</w:t>
      </w:r>
    </w:p>
    <w:p w:rsidR="00854875" w:rsidRPr="00D50E91" w:rsidRDefault="00854875" w:rsidP="00854875">
      <w:pPr>
        <w:pStyle w:val="Listaszerbekezds"/>
        <w:numPr>
          <w:ilvl w:val="0"/>
          <w:numId w:val="6"/>
        </w:numPr>
        <w:autoSpaceDE w:val="0"/>
        <w:autoSpaceDN w:val="0"/>
        <w:adjustRightInd w:val="0"/>
        <w:ind w:left="426" w:hanging="426"/>
        <w:jc w:val="both"/>
      </w:pPr>
      <w:r w:rsidRPr="00D50E91">
        <w:t>90. § (3) bekezdésében a „belmagasságú” szövegrész helyébe a „számított belmagasságú” szöveg,</w:t>
      </w:r>
    </w:p>
    <w:p w:rsidR="00854875" w:rsidRPr="00D50E91" w:rsidRDefault="00854875" w:rsidP="00854875">
      <w:pPr>
        <w:pStyle w:val="Listaszerbekezds"/>
        <w:numPr>
          <w:ilvl w:val="0"/>
          <w:numId w:val="6"/>
        </w:numPr>
        <w:autoSpaceDE w:val="0"/>
        <w:autoSpaceDN w:val="0"/>
        <w:adjustRightInd w:val="0"/>
        <w:ind w:left="426" w:hanging="426"/>
        <w:jc w:val="both"/>
      </w:pPr>
      <w:r w:rsidRPr="00D50E91">
        <w:t>90. § (5) bekezdésében a „számítva” szövegrész helyébe a „számítva vagy számítással megállapított érték” szöveg,</w:t>
      </w:r>
    </w:p>
    <w:p w:rsidR="00854875" w:rsidRPr="00D50E91" w:rsidRDefault="00854875" w:rsidP="00854875">
      <w:pPr>
        <w:pStyle w:val="Listaszerbekezds"/>
        <w:numPr>
          <w:ilvl w:val="0"/>
          <w:numId w:val="6"/>
        </w:numPr>
        <w:autoSpaceDE w:val="0"/>
        <w:autoSpaceDN w:val="0"/>
        <w:adjustRightInd w:val="0"/>
        <w:ind w:left="426" w:hanging="426"/>
        <w:jc w:val="both"/>
      </w:pPr>
      <w:r w:rsidRPr="00D50E91">
        <w:t>91. § (2) bekezdésében a „hő</w:t>
      </w:r>
      <w:r w:rsidR="003528A8">
        <w:t>-</w:t>
      </w:r>
      <w:r w:rsidRPr="00D50E91">
        <w:t xml:space="preserve"> és füstelvezető szerkezet” szövegrész helyébe a „vízszinteshez viszonyítva legfeljebb 60</w:t>
      </w:r>
      <w:r w:rsidRPr="00D50E91">
        <w:rPr>
          <w:vertAlign w:val="superscript"/>
        </w:rPr>
        <w:t>o</w:t>
      </w:r>
      <w:r w:rsidRPr="00D50E91">
        <w:t xml:space="preserve"> szöget bezáró beépítési helyzetű hő</w:t>
      </w:r>
      <w:r w:rsidR="003528A8">
        <w:t>-</w:t>
      </w:r>
      <w:r w:rsidRPr="00D50E91">
        <w:t xml:space="preserve"> és füstelvezető szerkezet” szöveg,</w:t>
      </w:r>
    </w:p>
    <w:p w:rsidR="00854875" w:rsidRPr="00D50E91" w:rsidRDefault="00854875" w:rsidP="00854875">
      <w:pPr>
        <w:pStyle w:val="Listaszerbekezds"/>
        <w:numPr>
          <w:ilvl w:val="0"/>
          <w:numId w:val="6"/>
        </w:numPr>
        <w:autoSpaceDE w:val="0"/>
        <w:autoSpaceDN w:val="0"/>
        <w:adjustRightInd w:val="0"/>
        <w:ind w:left="426" w:hanging="426"/>
        <w:jc w:val="both"/>
      </w:pPr>
      <w:r w:rsidRPr="00D50E91">
        <w:t>91. § (5) bekezdésében az „a 9. mellékletben foglalt 2. táblázat szerinti” szövegrész helyébe a „normatív” szöveg,</w:t>
      </w:r>
    </w:p>
    <w:p w:rsidR="00854875" w:rsidRPr="00D50E91" w:rsidRDefault="00854875" w:rsidP="00854875">
      <w:pPr>
        <w:pStyle w:val="Listaszerbekezds"/>
        <w:numPr>
          <w:ilvl w:val="0"/>
          <w:numId w:val="6"/>
        </w:numPr>
        <w:autoSpaceDE w:val="0"/>
        <w:autoSpaceDN w:val="0"/>
        <w:adjustRightInd w:val="0"/>
        <w:ind w:left="426" w:hanging="426"/>
        <w:jc w:val="both"/>
      </w:pPr>
      <w:r w:rsidRPr="00D50E91">
        <w:t>92. § (1) bekezdésében a „füstelszívó ventilátor” szövegrész helyébe a „füstelszívó ventilátor, a füstcsappantyú” szöveg,</w:t>
      </w:r>
    </w:p>
    <w:p w:rsidR="00854875" w:rsidRPr="00D50E91" w:rsidRDefault="00854875" w:rsidP="00854875">
      <w:pPr>
        <w:pStyle w:val="Listaszerbekezds"/>
        <w:numPr>
          <w:ilvl w:val="0"/>
          <w:numId w:val="6"/>
        </w:numPr>
        <w:autoSpaceDE w:val="0"/>
        <w:autoSpaceDN w:val="0"/>
        <w:adjustRightInd w:val="0"/>
        <w:ind w:left="426" w:hanging="426"/>
        <w:jc w:val="both"/>
      </w:pPr>
      <w:r w:rsidRPr="00D50E91">
        <w:t>92. § (1) bekezdésében és a 95. § (4) bekezdésében a „3. táblázat” szövegrész helyébe a „2. táblázat” szöveg,</w:t>
      </w:r>
    </w:p>
    <w:p w:rsidR="00854875" w:rsidRPr="00D50E91" w:rsidRDefault="00854875" w:rsidP="00854875">
      <w:pPr>
        <w:pStyle w:val="Listaszerbekezds"/>
        <w:numPr>
          <w:ilvl w:val="0"/>
          <w:numId w:val="6"/>
        </w:numPr>
        <w:autoSpaceDE w:val="0"/>
        <w:autoSpaceDN w:val="0"/>
        <w:adjustRightInd w:val="0"/>
        <w:ind w:left="426" w:hanging="426"/>
        <w:jc w:val="both"/>
      </w:pPr>
      <w:r w:rsidRPr="00D50E91">
        <w:t>93. § (2) bekezdésében az „A menekülésre számításba vett” szövegrész helyébe az „Az (1) bekezdés a) pontja szerinti” szöveg,</w:t>
      </w:r>
    </w:p>
    <w:p w:rsidR="00854875" w:rsidRPr="00D50E91" w:rsidRDefault="00854875" w:rsidP="00854875">
      <w:pPr>
        <w:pStyle w:val="Listaszerbekezds"/>
        <w:numPr>
          <w:ilvl w:val="0"/>
          <w:numId w:val="6"/>
        </w:numPr>
        <w:autoSpaceDE w:val="0"/>
        <w:autoSpaceDN w:val="0"/>
        <w:adjustRightInd w:val="0"/>
        <w:ind w:left="426" w:hanging="426"/>
        <w:jc w:val="both"/>
      </w:pPr>
      <w:r w:rsidRPr="00D50E91">
        <w:t>93. § (6) bekezdés b) pontjában a „füstgyűjtő tér” szövegrész helyébe a „füstgyűjtő tér tűzcsóván kívüli részének” szöveg,</w:t>
      </w:r>
    </w:p>
    <w:p w:rsidR="00854875" w:rsidRPr="00D50E91" w:rsidRDefault="00854875" w:rsidP="00854875">
      <w:pPr>
        <w:pStyle w:val="Listaszerbekezds"/>
        <w:numPr>
          <w:ilvl w:val="0"/>
          <w:numId w:val="6"/>
        </w:numPr>
        <w:autoSpaceDE w:val="0"/>
        <w:autoSpaceDN w:val="0"/>
        <w:adjustRightInd w:val="0"/>
        <w:ind w:left="426" w:hanging="426"/>
        <w:jc w:val="both"/>
      </w:pPr>
      <w:r w:rsidRPr="00D50E91">
        <w:t>95. § (4) bekezdésében a „hőállósági követelmény kivételével” szövegrész helyébe a „hőállósági követelmény kivételével tűzhatástól védett elhelyezés esetén” szöveg,</w:t>
      </w:r>
    </w:p>
    <w:p w:rsidR="00854875" w:rsidRPr="00D50E91" w:rsidRDefault="00854875" w:rsidP="00854875">
      <w:pPr>
        <w:pStyle w:val="Listaszerbekezds"/>
        <w:numPr>
          <w:ilvl w:val="0"/>
          <w:numId w:val="6"/>
        </w:numPr>
        <w:autoSpaceDE w:val="0"/>
        <w:autoSpaceDN w:val="0"/>
        <w:adjustRightInd w:val="0"/>
        <w:ind w:left="426" w:hanging="426"/>
        <w:jc w:val="both"/>
      </w:pPr>
      <w:r w:rsidRPr="00D50E91">
        <w:t>95. § (5) bekezdésében a „91. §” szövegrész helyébe a „90. §” szöveg,</w:t>
      </w:r>
    </w:p>
    <w:p w:rsidR="00854875" w:rsidRPr="00D50E91" w:rsidRDefault="00854875" w:rsidP="00854875">
      <w:pPr>
        <w:pStyle w:val="Listaszerbekezds"/>
        <w:numPr>
          <w:ilvl w:val="0"/>
          <w:numId w:val="6"/>
        </w:numPr>
        <w:autoSpaceDE w:val="0"/>
        <w:autoSpaceDN w:val="0"/>
        <w:adjustRightInd w:val="0"/>
        <w:ind w:left="426" w:hanging="426"/>
        <w:jc w:val="both"/>
      </w:pPr>
      <w:r w:rsidRPr="00D50E91">
        <w:t>95. § (6) bekezdésében az „a 9. mellékletben foglalt 4. táblázat szerint” szövegrész helyébe a „normatív érték alapján” szöveg,</w:t>
      </w:r>
    </w:p>
    <w:p w:rsidR="00854875" w:rsidRPr="00D50E91" w:rsidRDefault="00854875" w:rsidP="00854875">
      <w:pPr>
        <w:pStyle w:val="Listaszerbekezds"/>
        <w:numPr>
          <w:ilvl w:val="0"/>
          <w:numId w:val="6"/>
        </w:numPr>
        <w:autoSpaceDE w:val="0"/>
        <w:autoSpaceDN w:val="0"/>
        <w:adjustRightInd w:val="0"/>
        <w:ind w:left="426" w:hanging="426"/>
        <w:jc w:val="both"/>
      </w:pPr>
      <w:r w:rsidRPr="00D50E91">
        <w:t>58. alcímében a „Füstmentes lépcsőházi” szövegrész helyébe a „Füstmentes előtéri és füstmentes lépcsőházi” szöveg,</w:t>
      </w:r>
    </w:p>
    <w:p w:rsidR="00854875" w:rsidRPr="00D50E91" w:rsidRDefault="00854875" w:rsidP="00854875">
      <w:pPr>
        <w:pStyle w:val="Listaszerbekezds"/>
        <w:numPr>
          <w:ilvl w:val="0"/>
          <w:numId w:val="6"/>
        </w:numPr>
        <w:autoSpaceDE w:val="0"/>
        <w:autoSpaceDN w:val="0"/>
        <w:adjustRightInd w:val="0"/>
        <w:ind w:left="426" w:hanging="426"/>
        <w:jc w:val="both"/>
      </w:pPr>
      <w:r w:rsidRPr="00D50E91">
        <w:t>98. § (1) bekezdésében a „kézi vagy automatikus” szövegrész helyébe a „kézi vagy beépített tűzjelző berendezéssel ellátott épület, épületrész esetén automatikus” szöveg,</w:t>
      </w:r>
    </w:p>
    <w:p w:rsidR="00854875" w:rsidRPr="00D50E91" w:rsidRDefault="00854875" w:rsidP="00854875">
      <w:pPr>
        <w:pStyle w:val="Listaszerbekezds"/>
        <w:numPr>
          <w:ilvl w:val="0"/>
          <w:numId w:val="6"/>
        </w:numPr>
        <w:autoSpaceDE w:val="0"/>
        <w:autoSpaceDN w:val="0"/>
        <w:adjustRightInd w:val="0"/>
        <w:ind w:left="426" w:hanging="426"/>
        <w:jc w:val="both"/>
      </w:pPr>
      <w:r w:rsidRPr="00D50E91">
        <w:t>111. § (2) bekezdésében az „MSZ 1634</w:t>
      </w:r>
      <w:r w:rsidR="003528A8">
        <w:t>-</w:t>
      </w:r>
      <w:r w:rsidRPr="00D50E91">
        <w:t>1” szövegrész helyébe az „MSZ EN 1634</w:t>
      </w:r>
      <w:r w:rsidR="003528A8">
        <w:t>-</w:t>
      </w:r>
      <w:r w:rsidRPr="00D50E91">
        <w:t>1” szöveg,</w:t>
      </w:r>
    </w:p>
    <w:p w:rsidR="00854875" w:rsidRPr="00D50E91" w:rsidRDefault="00854875" w:rsidP="00854875">
      <w:pPr>
        <w:pStyle w:val="Listaszerbekezds"/>
        <w:numPr>
          <w:ilvl w:val="0"/>
          <w:numId w:val="6"/>
        </w:numPr>
        <w:autoSpaceDE w:val="0"/>
        <w:autoSpaceDN w:val="0"/>
        <w:adjustRightInd w:val="0"/>
        <w:ind w:left="426" w:hanging="426"/>
        <w:jc w:val="both"/>
      </w:pPr>
      <w:r w:rsidRPr="00D50E91">
        <w:t>112. § (7) bekezdésében a „300 MW felszabaduló hőteljesítmény” szövegrész helyébe a „hőfelszabadulás során keletkező füstgázok” szöveg,</w:t>
      </w:r>
    </w:p>
    <w:p w:rsidR="00854875" w:rsidRPr="00D50E91" w:rsidRDefault="00854875" w:rsidP="00854875">
      <w:pPr>
        <w:pStyle w:val="Listaszerbekezds"/>
        <w:numPr>
          <w:ilvl w:val="0"/>
          <w:numId w:val="6"/>
        </w:numPr>
        <w:autoSpaceDE w:val="0"/>
        <w:autoSpaceDN w:val="0"/>
        <w:adjustRightInd w:val="0"/>
        <w:ind w:left="426" w:hanging="426"/>
        <w:jc w:val="both"/>
      </w:pPr>
      <w:r w:rsidRPr="00D50E91">
        <w:t>141. § a) pontjában a „kockázatelemzéssel” szövegrész helyébe a „kockázatkezeléssel” szöveg,</w:t>
      </w:r>
    </w:p>
    <w:p w:rsidR="00854875" w:rsidRPr="00D50E91" w:rsidRDefault="00854875" w:rsidP="00854875">
      <w:pPr>
        <w:pStyle w:val="Listaszerbekezds"/>
        <w:numPr>
          <w:ilvl w:val="0"/>
          <w:numId w:val="6"/>
        </w:numPr>
        <w:autoSpaceDE w:val="0"/>
        <w:autoSpaceDN w:val="0"/>
        <w:adjustRightInd w:val="0"/>
        <w:ind w:left="426" w:hanging="426"/>
        <w:jc w:val="both"/>
      </w:pPr>
      <w:r w:rsidRPr="00D50E91">
        <w:t>141. § a) pontjában a „közszolgáltatás kiesésére” szövegrész helyébe a „közszolgáltatás kiesésére kisebb, mint 10</w:t>
      </w:r>
      <w:r w:rsidR="003528A8">
        <w:rPr>
          <w:vertAlign w:val="superscript"/>
        </w:rPr>
        <w:t>-</w:t>
      </w:r>
      <w:r w:rsidRPr="00D50E91">
        <w:rPr>
          <w:vertAlign w:val="superscript"/>
        </w:rPr>
        <w:t>3</w:t>
      </w:r>
      <w:r w:rsidRPr="00D50E91">
        <w:t>” szöveg,</w:t>
      </w:r>
    </w:p>
    <w:p w:rsidR="00854875" w:rsidRPr="00D50E91" w:rsidRDefault="00854875" w:rsidP="00854875">
      <w:pPr>
        <w:pStyle w:val="Listaszerbekezds"/>
        <w:numPr>
          <w:ilvl w:val="0"/>
          <w:numId w:val="6"/>
        </w:numPr>
        <w:autoSpaceDE w:val="0"/>
        <w:autoSpaceDN w:val="0"/>
        <w:adjustRightInd w:val="0"/>
        <w:ind w:left="426" w:hanging="426"/>
        <w:jc w:val="both"/>
      </w:pPr>
      <w:r w:rsidRPr="00D50E91">
        <w:t>142. § (2) bekezdésében a „12. mellékletben foglalt táblázatban” szövegrész helyébe a „12. melléklet 1. táblázatában” szöveg,</w:t>
      </w:r>
    </w:p>
    <w:p w:rsidR="00854875" w:rsidRPr="00D50E91" w:rsidRDefault="00854875" w:rsidP="00854875">
      <w:pPr>
        <w:pStyle w:val="Listaszerbekezds"/>
        <w:numPr>
          <w:ilvl w:val="0"/>
          <w:numId w:val="6"/>
        </w:numPr>
        <w:autoSpaceDE w:val="0"/>
        <w:autoSpaceDN w:val="0"/>
        <w:adjustRightInd w:val="0"/>
        <w:ind w:left="426" w:hanging="426"/>
        <w:jc w:val="both"/>
      </w:pPr>
      <w:r w:rsidRPr="00D50E91">
        <w:t>143. § (1) bekezdésében az „esik” szövegrész helyébe az „esik, és amennyiben az építményre elkészített villámvédelmi kockázatkezelés alapján szükséges” szöveg</w:t>
      </w:r>
      <w:r w:rsidR="003B029E" w:rsidRPr="00D50E91">
        <w:t>,</w:t>
      </w:r>
    </w:p>
    <w:p w:rsidR="003B029E" w:rsidRPr="00D50E91" w:rsidRDefault="003B029E" w:rsidP="003B029E">
      <w:pPr>
        <w:pStyle w:val="Listaszerbekezds"/>
        <w:numPr>
          <w:ilvl w:val="0"/>
          <w:numId w:val="6"/>
        </w:numPr>
        <w:autoSpaceDE w:val="0"/>
        <w:autoSpaceDN w:val="0"/>
        <w:adjustRightInd w:val="0"/>
        <w:ind w:left="426" w:hanging="426"/>
        <w:jc w:val="both"/>
      </w:pPr>
      <w:r w:rsidRPr="00D50E91">
        <w:lastRenderedPageBreak/>
        <w:t>149. §</w:t>
      </w:r>
      <w:r w:rsidR="003528A8">
        <w:t>-</w:t>
      </w:r>
      <w:r w:rsidRPr="00D50E91">
        <w:t>ában a „felett legalább 1,8 méteres magasságban” szövegrész helyébe a „padlósíktól mérve legalább 1,8 méter” szöveg</w:t>
      </w:r>
    </w:p>
    <w:p w:rsidR="00854875" w:rsidRPr="00D50E91" w:rsidRDefault="00854875" w:rsidP="00854875">
      <w:pPr>
        <w:autoSpaceDE w:val="0"/>
        <w:autoSpaceDN w:val="0"/>
        <w:adjustRightInd w:val="0"/>
        <w:jc w:val="both"/>
      </w:pPr>
      <w:r w:rsidRPr="00D50E91">
        <w:t>lép.</w:t>
      </w:r>
    </w:p>
    <w:p w:rsidR="00854875" w:rsidRPr="00D50E91" w:rsidRDefault="00854875" w:rsidP="00854875">
      <w:pPr>
        <w:autoSpaceDE w:val="0"/>
        <w:autoSpaceDN w:val="0"/>
        <w:adjustRightInd w:val="0"/>
        <w:jc w:val="both"/>
      </w:pPr>
    </w:p>
    <w:p w:rsidR="00854875" w:rsidRPr="00D50E91" w:rsidRDefault="00854875" w:rsidP="00854875">
      <w:pPr>
        <w:autoSpaceDE w:val="0"/>
        <w:autoSpaceDN w:val="0"/>
        <w:adjustRightInd w:val="0"/>
        <w:jc w:val="both"/>
      </w:pPr>
      <w:r w:rsidRPr="00D50E91">
        <w:t>(5) Az R.</w:t>
      </w:r>
    </w:p>
    <w:p w:rsidR="00854875" w:rsidRPr="00D50E91" w:rsidRDefault="00854875" w:rsidP="00854875">
      <w:pPr>
        <w:pStyle w:val="Listaszerbekezds"/>
        <w:numPr>
          <w:ilvl w:val="0"/>
          <w:numId w:val="7"/>
        </w:numPr>
        <w:autoSpaceDE w:val="0"/>
        <w:autoSpaceDN w:val="0"/>
        <w:adjustRightInd w:val="0"/>
        <w:ind w:left="426" w:hanging="426"/>
        <w:jc w:val="both"/>
      </w:pPr>
      <w:r w:rsidRPr="00D50E91">
        <w:t>152. § (1) bekezdésében a „pánikrúddal ellátott ajtókon” szövegrész helyébe a „pánikrúddal vagy vésznyitóval ellátott ajtókon, vagy a vésznyitó mellett” szöveg,</w:t>
      </w:r>
    </w:p>
    <w:p w:rsidR="00854875" w:rsidRPr="00D50E91" w:rsidRDefault="00854875" w:rsidP="00854875">
      <w:pPr>
        <w:pStyle w:val="Listaszerbekezds"/>
        <w:numPr>
          <w:ilvl w:val="0"/>
          <w:numId w:val="7"/>
        </w:numPr>
        <w:autoSpaceDE w:val="0"/>
        <w:autoSpaceDN w:val="0"/>
        <w:adjustRightInd w:val="0"/>
        <w:ind w:left="426" w:hanging="426"/>
        <w:jc w:val="both"/>
      </w:pPr>
      <w:r w:rsidRPr="00D50E91">
        <w:t>152. § (2) bekezdésében a „külföldi” szövegrész helyébe a „magyarul nem értő” szöveg,</w:t>
      </w:r>
    </w:p>
    <w:p w:rsidR="00854875" w:rsidRPr="00D50E91" w:rsidRDefault="00854875" w:rsidP="00854875">
      <w:pPr>
        <w:pStyle w:val="Listaszerbekezds"/>
        <w:numPr>
          <w:ilvl w:val="0"/>
          <w:numId w:val="7"/>
        </w:numPr>
        <w:autoSpaceDE w:val="0"/>
        <w:autoSpaceDN w:val="0"/>
        <w:adjustRightInd w:val="0"/>
        <w:ind w:left="426" w:hanging="426"/>
        <w:jc w:val="both"/>
      </w:pPr>
      <w:r w:rsidRPr="00D50E91">
        <w:t>157. §</w:t>
      </w:r>
      <w:r w:rsidR="003528A8">
        <w:t>-</w:t>
      </w:r>
      <w:r w:rsidRPr="00D50E91">
        <w:t>ában a „tűzjelző berendezésen eszközölt bármely változtatás” szövegrész helyébe a „berendezésen eszközölt, az üzemeltetést érintő változtatás” szöveg,</w:t>
      </w:r>
    </w:p>
    <w:p w:rsidR="00854875" w:rsidRPr="00D50E91" w:rsidRDefault="00854875" w:rsidP="00854875">
      <w:pPr>
        <w:pStyle w:val="Listaszerbekezds"/>
        <w:numPr>
          <w:ilvl w:val="0"/>
          <w:numId w:val="7"/>
        </w:numPr>
        <w:autoSpaceDE w:val="0"/>
        <w:autoSpaceDN w:val="0"/>
        <w:adjustRightInd w:val="0"/>
        <w:ind w:left="426" w:hanging="426"/>
        <w:jc w:val="both"/>
      </w:pPr>
      <w:r w:rsidRPr="00D50E91">
        <w:t>158. § (1) bekezdésében a „rendszerre” szövegrész helyébe a „berendezésre” szöveg,</w:t>
      </w:r>
    </w:p>
    <w:p w:rsidR="00854875" w:rsidRPr="00D50E91" w:rsidRDefault="00854875" w:rsidP="00854875">
      <w:pPr>
        <w:pStyle w:val="Listaszerbekezds"/>
        <w:numPr>
          <w:ilvl w:val="0"/>
          <w:numId w:val="7"/>
        </w:numPr>
        <w:autoSpaceDE w:val="0"/>
        <w:autoSpaceDN w:val="0"/>
        <w:adjustRightInd w:val="0"/>
        <w:ind w:left="426" w:hanging="426"/>
        <w:jc w:val="both"/>
      </w:pPr>
      <w:r w:rsidRPr="00D50E91">
        <w:t>158. § (2) bekezdésében, a 255. § (1) bekezdés a) pontjában, (6) bekezdés b) pontjában, (7) bekezdés nyitószövegrészében, (7) bekezdés c) és d) pontjában, a 261. § (2) bekezdés b) pontjában a „rendszer” szövegrész helyébe a „berendezés” szöveg,</w:t>
      </w:r>
    </w:p>
    <w:p w:rsidR="00854875" w:rsidRPr="00D50E91" w:rsidRDefault="00854875" w:rsidP="00854875">
      <w:pPr>
        <w:pStyle w:val="Listaszerbekezds"/>
        <w:numPr>
          <w:ilvl w:val="0"/>
          <w:numId w:val="7"/>
        </w:numPr>
        <w:autoSpaceDE w:val="0"/>
        <w:autoSpaceDN w:val="0"/>
        <w:adjustRightInd w:val="0"/>
        <w:ind w:left="426" w:hanging="426"/>
        <w:jc w:val="both"/>
      </w:pPr>
      <w:r w:rsidRPr="00D50E91">
        <w:t>158. § (3) bekezdésében az „üzembe helyezői nyilatkozatot” szövegrész helyébe az „üzembe helyezői jegyzőkönyvet és nyilatkozatot” szöveg,</w:t>
      </w:r>
    </w:p>
    <w:p w:rsidR="00854875" w:rsidRPr="00D50E91" w:rsidRDefault="00854875" w:rsidP="00854875">
      <w:pPr>
        <w:pStyle w:val="Listaszerbekezds"/>
        <w:numPr>
          <w:ilvl w:val="0"/>
          <w:numId w:val="7"/>
        </w:numPr>
        <w:autoSpaceDE w:val="0"/>
        <w:autoSpaceDN w:val="0"/>
        <w:adjustRightInd w:val="0"/>
        <w:ind w:left="426" w:hanging="426"/>
        <w:jc w:val="both"/>
      </w:pPr>
      <w:r w:rsidRPr="00D50E91">
        <w:t>158. § (4) bekezdés b) pontjában a „tartalék áramforrás” szövegrész helyébe a „biztonsági tápforrás” szöveg,</w:t>
      </w:r>
    </w:p>
    <w:p w:rsidR="00854875" w:rsidRPr="00D50E91" w:rsidRDefault="00854875" w:rsidP="00854875">
      <w:pPr>
        <w:pStyle w:val="Listaszerbekezds"/>
        <w:numPr>
          <w:ilvl w:val="0"/>
          <w:numId w:val="7"/>
        </w:numPr>
        <w:autoSpaceDE w:val="0"/>
        <w:autoSpaceDN w:val="0"/>
        <w:adjustRightInd w:val="0"/>
        <w:ind w:left="426" w:hanging="426"/>
        <w:jc w:val="both"/>
      </w:pPr>
      <w:r w:rsidRPr="00D50E91">
        <w:t>158. § (4) bekezdés f) pontjában az „oltórendszer” szövegrész helyébe az „oltóberendezés” szöveg,</w:t>
      </w:r>
    </w:p>
    <w:p w:rsidR="00854875" w:rsidRPr="00D50E91" w:rsidRDefault="00854875" w:rsidP="00854875">
      <w:pPr>
        <w:pStyle w:val="Listaszerbekezds"/>
        <w:numPr>
          <w:ilvl w:val="0"/>
          <w:numId w:val="7"/>
        </w:numPr>
        <w:autoSpaceDE w:val="0"/>
        <w:autoSpaceDN w:val="0"/>
        <w:adjustRightInd w:val="0"/>
        <w:ind w:left="426" w:hanging="426"/>
        <w:jc w:val="both"/>
      </w:pPr>
      <w:r w:rsidRPr="00D50E91">
        <w:t>165. § (2) bekezdésében a „védett szint emeletközi födéme tűzgátló kialakítású” szövegrész helyébe a „védett tér alatti födém tűzgátló kialakítású és a védett tér menekülési útvonala a védelemből kihagyott alsóbb szintektől tűzgátló módon van elválasztva” szöveg,</w:t>
      </w:r>
    </w:p>
    <w:p w:rsidR="00854875" w:rsidRPr="00D50E91" w:rsidRDefault="00854875" w:rsidP="00854875">
      <w:pPr>
        <w:pStyle w:val="Listaszerbekezds"/>
        <w:numPr>
          <w:ilvl w:val="0"/>
          <w:numId w:val="7"/>
        </w:numPr>
        <w:autoSpaceDE w:val="0"/>
        <w:autoSpaceDN w:val="0"/>
        <w:adjustRightInd w:val="0"/>
        <w:ind w:left="426" w:hanging="426"/>
        <w:jc w:val="both"/>
      </w:pPr>
      <w:r w:rsidRPr="00D50E91">
        <w:t>175. § (8) bekezdésben az „ „1” és” szövegrész helyébe az „ „1a” cseretelepek körül legalább 1,5 méter, az „1b” és” szöveg,</w:t>
      </w:r>
    </w:p>
    <w:p w:rsidR="00854875" w:rsidRPr="00D50E91" w:rsidRDefault="00854875" w:rsidP="00854875">
      <w:pPr>
        <w:pStyle w:val="Listaszerbekezds"/>
        <w:numPr>
          <w:ilvl w:val="0"/>
          <w:numId w:val="7"/>
        </w:numPr>
        <w:autoSpaceDE w:val="0"/>
        <w:autoSpaceDN w:val="0"/>
        <w:adjustRightInd w:val="0"/>
        <w:ind w:left="426" w:hanging="426"/>
        <w:jc w:val="both"/>
      </w:pPr>
      <w:r w:rsidRPr="00D50E91">
        <w:t>175. § (8) bekezdésében a „teljesítmény jellemzőjű” szövegrész helyébe a „teljesítményű” szöveg,</w:t>
      </w:r>
    </w:p>
    <w:p w:rsidR="00854875" w:rsidRPr="00D50E91" w:rsidRDefault="00854875" w:rsidP="00854875">
      <w:pPr>
        <w:pStyle w:val="Listaszerbekezds"/>
        <w:numPr>
          <w:ilvl w:val="0"/>
          <w:numId w:val="7"/>
        </w:numPr>
        <w:autoSpaceDE w:val="0"/>
        <w:autoSpaceDN w:val="0"/>
        <w:adjustRightInd w:val="0"/>
        <w:ind w:left="426" w:hanging="426"/>
        <w:jc w:val="both"/>
      </w:pPr>
      <w:r w:rsidRPr="00D50E91">
        <w:t>176. §</w:t>
      </w:r>
      <w:r w:rsidR="003528A8">
        <w:t>-</w:t>
      </w:r>
      <w:r w:rsidRPr="00D50E91">
        <w:t>ában az „építmények” szövegrész helyébe az „építmények, szabad terek” szöveg,</w:t>
      </w:r>
    </w:p>
    <w:p w:rsidR="00854875" w:rsidRPr="00D50E91" w:rsidRDefault="00854875" w:rsidP="00854875">
      <w:pPr>
        <w:pStyle w:val="Listaszerbekezds"/>
        <w:numPr>
          <w:ilvl w:val="0"/>
          <w:numId w:val="7"/>
        </w:numPr>
        <w:autoSpaceDE w:val="0"/>
        <w:autoSpaceDN w:val="0"/>
        <w:adjustRightInd w:val="0"/>
        <w:ind w:left="426" w:hanging="426"/>
        <w:jc w:val="both"/>
      </w:pPr>
      <w:r w:rsidRPr="00D50E91">
        <w:t>177. § (3) bekezdésében a „forgalomba hozatalt, valamint” szövegrész helyébe a „forgalomba hozatalt, forgalmazást, valamint” szöveg,</w:t>
      </w:r>
    </w:p>
    <w:p w:rsidR="00854875" w:rsidRPr="00D50E91" w:rsidRDefault="00854875" w:rsidP="00854875">
      <w:pPr>
        <w:pStyle w:val="Listaszerbekezds"/>
        <w:numPr>
          <w:ilvl w:val="0"/>
          <w:numId w:val="7"/>
        </w:numPr>
        <w:autoSpaceDE w:val="0"/>
        <w:autoSpaceDN w:val="0"/>
        <w:adjustRightInd w:val="0"/>
        <w:ind w:left="426" w:hanging="426"/>
        <w:jc w:val="both"/>
      </w:pPr>
      <w:r w:rsidRPr="00D50E91">
        <w:t>177. § (6) bekezdésében, a 240. § (3) bekezdésében a „robbanásveszélyes és tűzveszélyes” szövegrész helyébe a „fokozottan tűz</w:t>
      </w:r>
      <w:r w:rsidR="003528A8">
        <w:t>-</w:t>
      </w:r>
      <w:r w:rsidRPr="00D50E91">
        <w:t xml:space="preserve"> vagy robbanásveszélyes és mérsékelten tűzveszélyes” szöveg,</w:t>
      </w:r>
    </w:p>
    <w:p w:rsidR="00854875" w:rsidRPr="00D50E91" w:rsidRDefault="00854875" w:rsidP="00854875">
      <w:pPr>
        <w:pStyle w:val="Listaszerbekezds"/>
        <w:numPr>
          <w:ilvl w:val="0"/>
          <w:numId w:val="7"/>
        </w:numPr>
        <w:autoSpaceDE w:val="0"/>
        <w:autoSpaceDN w:val="0"/>
        <w:adjustRightInd w:val="0"/>
        <w:ind w:left="426" w:hanging="426"/>
        <w:jc w:val="both"/>
      </w:pPr>
      <w:r w:rsidRPr="00D50E91">
        <w:t>177. § (7) bekezdésében, a 189. § (1) és (3) bekezdésében az „I</w:t>
      </w:r>
      <w:r w:rsidR="003528A8">
        <w:t>-</w:t>
      </w:r>
      <w:r w:rsidRPr="00D50E91">
        <w:t>II. tűzveszélyességi fokozatú” szövegrész helyébe a „Fokozottan tűz</w:t>
      </w:r>
      <w:r w:rsidR="003528A8">
        <w:t>-</w:t>
      </w:r>
      <w:r w:rsidRPr="00D50E91">
        <w:t xml:space="preserve"> vagy robbanásveszélyes, mérsékelten tűzveszélyes osztályba tartozó” szöveg,</w:t>
      </w:r>
    </w:p>
    <w:p w:rsidR="00854875" w:rsidRPr="00D50E91" w:rsidRDefault="00854875" w:rsidP="00854875">
      <w:pPr>
        <w:pStyle w:val="Listaszerbekezds"/>
        <w:numPr>
          <w:ilvl w:val="0"/>
          <w:numId w:val="7"/>
        </w:numPr>
        <w:autoSpaceDE w:val="0"/>
        <w:autoSpaceDN w:val="0"/>
        <w:adjustRightInd w:val="0"/>
        <w:ind w:left="426" w:hanging="426"/>
        <w:jc w:val="both"/>
      </w:pPr>
      <w:r w:rsidRPr="00D50E91">
        <w:t>178. § (1) és (3) bekezdésében, a 189. § (2) bekezdésében, a 195. § (3) bekezdésében az „Az I</w:t>
      </w:r>
      <w:r w:rsidR="003528A8">
        <w:t>-</w:t>
      </w:r>
      <w:r w:rsidRPr="00D50E91">
        <w:t>II. tűzveszélyességi fokozatú” szövegrész helyébe a „A fokozottan tűz</w:t>
      </w:r>
      <w:r w:rsidR="003528A8">
        <w:t>-</w:t>
      </w:r>
      <w:r w:rsidRPr="00D50E91">
        <w:t xml:space="preserve"> vagy robbanásveszélyes osztályba tartozó” szöveg,</w:t>
      </w:r>
    </w:p>
    <w:p w:rsidR="00854875" w:rsidRPr="00D50E91" w:rsidRDefault="00854875" w:rsidP="00854875">
      <w:pPr>
        <w:pStyle w:val="Listaszerbekezds"/>
        <w:numPr>
          <w:ilvl w:val="0"/>
          <w:numId w:val="7"/>
        </w:numPr>
        <w:autoSpaceDE w:val="0"/>
        <w:autoSpaceDN w:val="0"/>
        <w:adjustRightInd w:val="0"/>
        <w:ind w:left="426" w:hanging="426"/>
        <w:jc w:val="both"/>
      </w:pPr>
      <w:r w:rsidRPr="00D50E91">
        <w:t>178. § (1) bekezdésében, a 195. § (3) bekezdésében a „robbanásveszélyes és tűzveszélyes” szövegrész helyébe a „fokozottan tűz</w:t>
      </w:r>
      <w:r w:rsidR="003528A8">
        <w:t>-</w:t>
      </w:r>
      <w:r w:rsidRPr="00D50E91">
        <w:t xml:space="preserve"> vagy robbanásveszélyes és mérsékelten tűzveszélyes” szöveg,</w:t>
      </w:r>
    </w:p>
    <w:p w:rsidR="00854875" w:rsidRPr="00D50E91" w:rsidRDefault="0033648D" w:rsidP="003B029E">
      <w:pPr>
        <w:pStyle w:val="Listaszerbekezds"/>
        <w:numPr>
          <w:ilvl w:val="0"/>
          <w:numId w:val="7"/>
        </w:numPr>
        <w:autoSpaceDE w:val="0"/>
        <w:autoSpaceDN w:val="0"/>
        <w:adjustRightInd w:val="0"/>
        <w:ind w:left="426" w:hanging="426"/>
        <w:jc w:val="both"/>
      </w:pPr>
      <w:r w:rsidRPr="0033648D">
        <w:t>1</w:t>
      </w:r>
      <w:r>
        <w:t>78</w:t>
      </w:r>
      <w:r w:rsidR="00854875" w:rsidRPr="0033648D">
        <w:t>. §</w:t>
      </w:r>
      <w:r w:rsidR="00854875" w:rsidRPr="00D50E91">
        <w:t xml:space="preserve"> (2) bekezdésében, a 191. § (3) bekezdésében, a 198. § (2) bekezdésében, a 232. § (7) bekezdésében, a 233. § (1) és (2) bekezdésében, a 234. § (1) és (3) bekezdésében, 238. § (2) bekezdésében, a 240. § (5)</w:t>
      </w:r>
      <w:r w:rsidR="003528A8">
        <w:t>-</w:t>
      </w:r>
      <w:r w:rsidR="00854875" w:rsidRPr="00D50E91">
        <w:t>(7) bekezdésében, 242. § (4) bekezdésében az „I</w:t>
      </w:r>
      <w:r w:rsidR="003528A8">
        <w:t>-</w:t>
      </w:r>
      <w:r w:rsidR="00854875" w:rsidRPr="00D50E91">
        <w:t>II. tűzveszélyességi fokozatú” szövegrész helyébe a „fokozottan tűz</w:t>
      </w:r>
      <w:r w:rsidR="003528A8">
        <w:t>-</w:t>
      </w:r>
      <w:r w:rsidR="00854875" w:rsidRPr="00D50E91">
        <w:t xml:space="preserve"> vagy robbanásveszélyes osztályba tartozó” szöveg,</w:t>
      </w:r>
    </w:p>
    <w:p w:rsidR="00854875" w:rsidRPr="00D50E91" w:rsidRDefault="00854875" w:rsidP="003B029E">
      <w:pPr>
        <w:pStyle w:val="Listaszerbekezds"/>
        <w:numPr>
          <w:ilvl w:val="0"/>
          <w:numId w:val="7"/>
        </w:numPr>
        <w:autoSpaceDE w:val="0"/>
        <w:autoSpaceDN w:val="0"/>
        <w:adjustRightInd w:val="0"/>
        <w:ind w:left="426" w:hanging="426"/>
        <w:jc w:val="both"/>
      </w:pPr>
      <w:r w:rsidRPr="00D50E91">
        <w:t>179. § (5) bekezdésében a „Ha robbanásveszélyes” szövegrész helyébe a „Ha fokozottan tűz</w:t>
      </w:r>
      <w:r w:rsidR="003528A8">
        <w:t>-</w:t>
      </w:r>
      <w:r w:rsidRPr="00D50E91">
        <w:t xml:space="preserve"> vagy robbanásveszélyes” szöveg,</w:t>
      </w:r>
    </w:p>
    <w:p w:rsidR="00854875" w:rsidRPr="00D50E91" w:rsidRDefault="00854875" w:rsidP="003B029E">
      <w:pPr>
        <w:pStyle w:val="Listaszerbekezds"/>
        <w:numPr>
          <w:ilvl w:val="0"/>
          <w:numId w:val="7"/>
        </w:numPr>
        <w:autoSpaceDE w:val="0"/>
        <w:autoSpaceDN w:val="0"/>
        <w:adjustRightInd w:val="0"/>
        <w:ind w:left="426" w:hanging="426"/>
        <w:jc w:val="both"/>
      </w:pPr>
      <w:r w:rsidRPr="00D50E91">
        <w:lastRenderedPageBreak/>
        <w:t>184. § (4) bekezdésében a „Hiányosság esetén a munkavégzésre való utasítás nem adható ki” szövegrész helyébe a „Hiányosság esetén a munkavégzésre való utasítás nem adható ki, valamint a tűzveszélyes tevékenység nem kezdhető meg” szöveg,</w:t>
      </w:r>
    </w:p>
    <w:p w:rsidR="00854875" w:rsidRPr="00D50E91" w:rsidRDefault="00854875" w:rsidP="003B029E">
      <w:pPr>
        <w:pStyle w:val="Listaszerbekezds"/>
        <w:numPr>
          <w:ilvl w:val="0"/>
          <w:numId w:val="7"/>
        </w:numPr>
        <w:autoSpaceDE w:val="0"/>
        <w:autoSpaceDN w:val="0"/>
        <w:adjustRightInd w:val="0"/>
        <w:ind w:left="426" w:hanging="426"/>
        <w:jc w:val="both"/>
      </w:pPr>
      <w:r w:rsidRPr="00D50E91">
        <w:t>185. § (1) bekezdésében a „Jogszabályban meghatározott” szövegrész helyébe a „Tűzvédelmi” szöveg,</w:t>
      </w:r>
    </w:p>
    <w:p w:rsidR="00854875" w:rsidRPr="00D50E91" w:rsidRDefault="00854875" w:rsidP="003B029E">
      <w:pPr>
        <w:pStyle w:val="Listaszerbekezds"/>
        <w:numPr>
          <w:ilvl w:val="0"/>
          <w:numId w:val="7"/>
        </w:numPr>
        <w:autoSpaceDE w:val="0"/>
        <w:autoSpaceDN w:val="0"/>
        <w:adjustRightInd w:val="0"/>
        <w:ind w:left="426" w:hanging="426"/>
        <w:jc w:val="both"/>
      </w:pPr>
      <w:r w:rsidRPr="0033648D">
        <w:t>187.</w:t>
      </w:r>
      <w:r w:rsidRPr="00D50E91">
        <w:t xml:space="preserve"> § (3) bekezdésében, a 191. § (4) bekezdésében a „Robbanásveszélyes” szövegrész helyébe a „Fokozottan tűz</w:t>
      </w:r>
      <w:r w:rsidR="003528A8">
        <w:t>-</w:t>
      </w:r>
      <w:r w:rsidRPr="00D50E91">
        <w:t xml:space="preserve"> vagy robbanásveszélyes” szöveg,</w:t>
      </w:r>
    </w:p>
    <w:p w:rsidR="00854875" w:rsidRPr="00D50E91" w:rsidRDefault="00854875" w:rsidP="003B029E">
      <w:pPr>
        <w:pStyle w:val="Listaszerbekezds"/>
        <w:numPr>
          <w:ilvl w:val="0"/>
          <w:numId w:val="7"/>
        </w:numPr>
        <w:autoSpaceDE w:val="0"/>
        <w:autoSpaceDN w:val="0"/>
        <w:adjustRightInd w:val="0"/>
        <w:ind w:left="426" w:hanging="426"/>
        <w:jc w:val="both"/>
      </w:pPr>
      <w:r w:rsidRPr="00D50E91">
        <w:t>188. § (2)</w:t>
      </w:r>
      <w:r w:rsidR="003528A8">
        <w:t>-</w:t>
      </w:r>
      <w:r w:rsidRPr="00D50E91">
        <w:t>(5) bekezdésében, a 189. § (1), (3) és (5) bekezdésében, a 190. § (1), (3) és (4) bekezdésében, a 95. alcím címében, a 191. § (1)</w:t>
      </w:r>
      <w:r w:rsidR="003528A8">
        <w:t>-</w:t>
      </w:r>
      <w:r w:rsidRPr="00D50E91">
        <w:t>(3) és (5) bekezdésében, a 195. § (2) bekezdésében, a 222. § (1) bekezdés a) pontjában a „robbanásveszélyes” szövegrész helyébe a „fokozottan tűz</w:t>
      </w:r>
      <w:r w:rsidR="003528A8">
        <w:t>-</w:t>
      </w:r>
      <w:r w:rsidRPr="00D50E91">
        <w:t xml:space="preserve"> vagy robbanásveszélyes” szöveg,</w:t>
      </w:r>
    </w:p>
    <w:p w:rsidR="00854875" w:rsidRPr="00D50E91" w:rsidRDefault="00854875" w:rsidP="003B029E">
      <w:pPr>
        <w:pStyle w:val="Listaszerbekezds"/>
        <w:numPr>
          <w:ilvl w:val="0"/>
          <w:numId w:val="7"/>
        </w:numPr>
        <w:autoSpaceDE w:val="0"/>
        <w:autoSpaceDN w:val="0"/>
        <w:adjustRightInd w:val="0"/>
        <w:ind w:left="426" w:hanging="426"/>
        <w:jc w:val="both"/>
      </w:pPr>
      <w:r w:rsidRPr="00D50E91">
        <w:t>188. § (4) és (5) bekezdésében, a 189. § (1), (3) és (5) bekezdésében, a 190. § (1), (3) és (4) bekezdésében a „tűzveszélyes” szövegrész helyébe a „mérsékelten tűzveszélyes” szöveg,</w:t>
      </w:r>
    </w:p>
    <w:p w:rsidR="00854875" w:rsidRPr="00D50E91" w:rsidRDefault="00854875" w:rsidP="003B029E">
      <w:pPr>
        <w:pStyle w:val="Listaszerbekezds"/>
        <w:numPr>
          <w:ilvl w:val="0"/>
          <w:numId w:val="7"/>
        </w:numPr>
        <w:autoSpaceDE w:val="0"/>
        <w:autoSpaceDN w:val="0"/>
        <w:adjustRightInd w:val="0"/>
        <w:ind w:left="426" w:hanging="426"/>
        <w:jc w:val="both"/>
      </w:pPr>
      <w:r w:rsidRPr="00D50E91">
        <w:t>190. § (4) bekezdésében a „naponta” szövegrész helyébe a „legalább naponta” szöveg</w:t>
      </w:r>
      <w:r w:rsidR="003B029E" w:rsidRPr="00D50E91">
        <w:t>,</w:t>
      </w:r>
    </w:p>
    <w:p w:rsidR="003B029E" w:rsidRPr="00D50E91" w:rsidRDefault="003B029E" w:rsidP="003B029E">
      <w:pPr>
        <w:pStyle w:val="Listaszerbekezds"/>
        <w:numPr>
          <w:ilvl w:val="0"/>
          <w:numId w:val="7"/>
        </w:numPr>
        <w:autoSpaceDE w:val="0"/>
        <w:autoSpaceDN w:val="0"/>
        <w:adjustRightInd w:val="0"/>
        <w:ind w:left="426" w:hanging="426"/>
        <w:jc w:val="both"/>
      </w:pPr>
      <w:r w:rsidRPr="00D50E91">
        <w:t>190. § (4) bekezdésében a „folyamatosan” szövegrész helyébe a „gyakrabban vagy folyamatosan” szöveg</w:t>
      </w:r>
    </w:p>
    <w:p w:rsidR="00854875" w:rsidRPr="00D50E91" w:rsidRDefault="00854875" w:rsidP="00854875">
      <w:pPr>
        <w:autoSpaceDE w:val="0"/>
        <w:autoSpaceDN w:val="0"/>
        <w:adjustRightInd w:val="0"/>
        <w:jc w:val="both"/>
      </w:pPr>
      <w:r w:rsidRPr="00D50E91">
        <w:t>lép.</w:t>
      </w:r>
    </w:p>
    <w:p w:rsidR="00854875" w:rsidRPr="00D50E91" w:rsidRDefault="00854875" w:rsidP="00854875">
      <w:pPr>
        <w:autoSpaceDE w:val="0"/>
        <w:autoSpaceDN w:val="0"/>
        <w:adjustRightInd w:val="0"/>
        <w:jc w:val="both"/>
      </w:pPr>
    </w:p>
    <w:p w:rsidR="00854875" w:rsidRPr="00D50E91" w:rsidRDefault="00854875" w:rsidP="00854875">
      <w:pPr>
        <w:autoSpaceDE w:val="0"/>
        <w:autoSpaceDN w:val="0"/>
        <w:adjustRightInd w:val="0"/>
        <w:jc w:val="both"/>
      </w:pPr>
      <w:r w:rsidRPr="00D50E91">
        <w:t>(6) Az R.</w:t>
      </w:r>
    </w:p>
    <w:p w:rsidR="00854875" w:rsidRPr="00D50E91" w:rsidRDefault="00854875" w:rsidP="00854875">
      <w:pPr>
        <w:pStyle w:val="Listaszerbekezds"/>
        <w:numPr>
          <w:ilvl w:val="0"/>
          <w:numId w:val="8"/>
        </w:numPr>
        <w:autoSpaceDE w:val="0"/>
        <w:autoSpaceDN w:val="0"/>
        <w:adjustRightInd w:val="0"/>
        <w:ind w:left="426" w:hanging="426"/>
        <w:jc w:val="both"/>
      </w:pPr>
      <w:r w:rsidRPr="00D50E91">
        <w:t>191. § (1) bekezdésében az „és a hatékony szellőzést biztosították” szövegrész helyébe az „és folyadék esetén a hatékony szellőzést biztosították” szöveg,</w:t>
      </w:r>
    </w:p>
    <w:p w:rsidR="00854875" w:rsidRPr="00D50E91" w:rsidRDefault="00854875" w:rsidP="00854875">
      <w:pPr>
        <w:pStyle w:val="Listaszerbekezds"/>
        <w:numPr>
          <w:ilvl w:val="0"/>
          <w:numId w:val="8"/>
        </w:numPr>
        <w:autoSpaceDE w:val="0"/>
        <w:autoSpaceDN w:val="0"/>
        <w:adjustRightInd w:val="0"/>
        <w:ind w:left="426" w:hanging="426"/>
        <w:jc w:val="both"/>
      </w:pPr>
      <w:r w:rsidRPr="00D50E91">
        <w:t>191. § (2) bekezdésében az „az I</w:t>
      </w:r>
      <w:r w:rsidR="003528A8">
        <w:t>-</w:t>
      </w:r>
      <w:r w:rsidRPr="00D50E91">
        <w:t>III. tűzveszélyességi fokozatú” szövegrész helyébe az „a mérsékelten tűzveszélyes osztályba tartozó” szöveg,</w:t>
      </w:r>
    </w:p>
    <w:p w:rsidR="00854875" w:rsidRPr="00D50E91" w:rsidRDefault="00854875" w:rsidP="00854875">
      <w:pPr>
        <w:pStyle w:val="Listaszerbekezds"/>
        <w:numPr>
          <w:ilvl w:val="0"/>
          <w:numId w:val="8"/>
        </w:numPr>
        <w:autoSpaceDE w:val="0"/>
        <w:autoSpaceDN w:val="0"/>
        <w:adjustRightInd w:val="0"/>
        <w:ind w:left="426" w:hanging="426"/>
        <w:jc w:val="both"/>
      </w:pPr>
      <w:r w:rsidRPr="00D50E91">
        <w:t>191. § (4) bekezdésében a „pinceszinti” szövegrész helyébe a „pinceszinti, alagsori” szöveg,</w:t>
      </w:r>
    </w:p>
    <w:p w:rsidR="00854875" w:rsidRPr="00D50E91" w:rsidRDefault="00854875" w:rsidP="00854875">
      <w:pPr>
        <w:pStyle w:val="Listaszerbekezds"/>
        <w:numPr>
          <w:ilvl w:val="0"/>
          <w:numId w:val="8"/>
        </w:numPr>
        <w:autoSpaceDE w:val="0"/>
        <w:autoSpaceDN w:val="0"/>
        <w:adjustRightInd w:val="0"/>
        <w:ind w:left="426" w:hanging="426"/>
        <w:jc w:val="both"/>
      </w:pPr>
      <w:r w:rsidRPr="00D50E91">
        <w:t>191. § (7) bekezdésében az „nem használható vagy tárolható egynél több propán</w:t>
      </w:r>
      <w:r w:rsidR="003528A8">
        <w:t>-</w:t>
      </w:r>
      <w:r w:rsidRPr="00D50E91">
        <w:t>bután gázpalack” szövegrész helyébe az „legfeljebb egy darab, maximum 11,5 kg töltettömegű propán</w:t>
      </w:r>
      <w:r w:rsidR="003528A8">
        <w:t>-</w:t>
      </w:r>
      <w:r w:rsidRPr="00D50E91">
        <w:t>bután gázpalack használható vagy tárolható” szöveg,</w:t>
      </w:r>
    </w:p>
    <w:p w:rsidR="00854875" w:rsidRPr="00D50E91" w:rsidRDefault="00854875" w:rsidP="00854875">
      <w:pPr>
        <w:pStyle w:val="Listaszerbekezds"/>
        <w:numPr>
          <w:ilvl w:val="0"/>
          <w:numId w:val="8"/>
        </w:numPr>
        <w:autoSpaceDE w:val="0"/>
        <w:autoSpaceDN w:val="0"/>
        <w:adjustRightInd w:val="0"/>
        <w:ind w:left="426" w:hanging="426"/>
        <w:jc w:val="both"/>
      </w:pPr>
      <w:r w:rsidRPr="00D50E91">
        <w:t>197. § (1) bekezdésében a „nyílászáróinak” szövegrész helyébe a „nyílászáróinak, valamint a füstgátló szerkezeteknek a” szöveg,</w:t>
      </w:r>
    </w:p>
    <w:p w:rsidR="00854875" w:rsidRPr="00D50E91" w:rsidRDefault="00854875" w:rsidP="00854875">
      <w:pPr>
        <w:pStyle w:val="Listaszerbekezds"/>
        <w:numPr>
          <w:ilvl w:val="0"/>
          <w:numId w:val="8"/>
        </w:numPr>
        <w:autoSpaceDE w:val="0"/>
        <w:autoSpaceDN w:val="0"/>
        <w:adjustRightInd w:val="0"/>
        <w:ind w:left="426" w:hanging="426"/>
        <w:jc w:val="both"/>
      </w:pPr>
      <w:r w:rsidRPr="00D50E91">
        <w:t>197. § (2) bekezdésében az „anyagok” szövegrész helyébe az „anyagok, bútorok és egyéb berendezési tárgyak” szöveg,</w:t>
      </w:r>
    </w:p>
    <w:p w:rsidR="00854875" w:rsidRPr="00D50E91" w:rsidRDefault="00854875" w:rsidP="00854875">
      <w:pPr>
        <w:pStyle w:val="Listaszerbekezds"/>
        <w:numPr>
          <w:ilvl w:val="0"/>
          <w:numId w:val="8"/>
        </w:numPr>
        <w:autoSpaceDE w:val="0"/>
        <w:autoSpaceDN w:val="0"/>
        <w:adjustRightInd w:val="0"/>
        <w:ind w:left="426" w:hanging="426"/>
        <w:jc w:val="both"/>
      </w:pPr>
      <w:r w:rsidRPr="00D50E91">
        <w:t>199. § (7) bekezdésében a „tűzveszélyes gépeket” szövegrész helyébe a „tűz</w:t>
      </w:r>
      <w:r w:rsidR="003528A8">
        <w:t>-</w:t>
      </w:r>
      <w:r w:rsidRPr="00D50E91">
        <w:t xml:space="preserve"> vagy robbanásveszélyes készülékeket, gépeket, berendezéseket” szöveg</w:t>
      </w:r>
    </w:p>
    <w:p w:rsidR="00854875" w:rsidRPr="00D50E91" w:rsidRDefault="00854875" w:rsidP="00854875">
      <w:pPr>
        <w:pStyle w:val="Listaszerbekezds"/>
        <w:numPr>
          <w:ilvl w:val="0"/>
          <w:numId w:val="8"/>
        </w:numPr>
        <w:autoSpaceDE w:val="0"/>
        <w:autoSpaceDN w:val="0"/>
        <w:adjustRightInd w:val="0"/>
        <w:ind w:left="426" w:hanging="426"/>
        <w:jc w:val="both"/>
      </w:pPr>
      <w:r w:rsidRPr="00D50E91">
        <w:t>202. § (5) bekezdésében a „haladéktalanul” szövegrész helyébe az „a tudomásra jutást követően késedelem nélkül telefonon” szöveg,</w:t>
      </w:r>
    </w:p>
    <w:p w:rsidR="00854875" w:rsidRPr="00D50E91" w:rsidRDefault="00854875" w:rsidP="00854875">
      <w:pPr>
        <w:pStyle w:val="Listaszerbekezds"/>
        <w:numPr>
          <w:ilvl w:val="0"/>
          <w:numId w:val="8"/>
        </w:numPr>
        <w:autoSpaceDE w:val="0"/>
        <w:autoSpaceDN w:val="0"/>
        <w:adjustRightInd w:val="0"/>
        <w:ind w:left="426" w:hanging="426"/>
        <w:jc w:val="both"/>
      </w:pPr>
      <w:r w:rsidRPr="00D50E91">
        <w:t>202. § (8) bekezdés d) pontjában a „Tűzvédelmi Szabályzatban rögzítve” szövegrész helyébe a „Tűzvédelmi Szabályzatban – annak hiányában írásban – rögzítve” szöveg,</w:t>
      </w:r>
    </w:p>
    <w:p w:rsidR="00854875" w:rsidRPr="00D50E91" w:rsidRDefault="00854875" w:rsidP="00854875">
      <w:pPr>
        <w:pStyle w:val="Listaszerbekezds"/>
        <w:numPr>
          <w:ilvl w:val="0"/>
          <w:numId w:val="8"/>
        </w:numPr>
        <w:autoSpaceDE w:val="0"/>
        <w:autoSpaceDN w:val="0"/>
        <w:adjustRightInd w:val="0"/>
        <w:ind w:left="426" w:hanging="426"/>
        <w:jc w:val="both"/>
      </w:pPr>
      <w:r w:rsidRPr="00D50E91">
        <w:t xml:space="preserve">a 203. § (4) bekezdésében a „bekövetkező események </w:t>
      </w:r>
      <w:r w:rsidR="003528A8">
        <w:t>-</w:t>
      </w:r>
      <w:r w:rsidRPr="00D50E91">
        <w:t xml:space="preserve"> mint a kivonulás vagy a vonulásból való visszahívás </w:t>
      </w:r>
      <w:r w:rsidR="003528A8">
        <w:t>-</w:t>
      </w:r>
      <w:r w:rsidRPr="00D50E91">
        <w:t xml:space="preserve"> elfogadható számát és az ezen felül történő eseményekből származó költségek mértékét, ” szövegrész helyébe a „bekövetkező eseményekből származó költségek megtérítésének felelősségét és módját” szöveg,</w:t>
      </w:r>
    </w:p>
    <w:p w:rsidR="00854875" w:rsidRPr="00D50E91" w:rsidRDefault="00854875" w:rsidP="00854875">
      <w:pPr>
        <w:pStyle w:val="Listaszerbekezds"/>
        <w:numPr>
          <w:ilvl w:val="0"/>
          <w:numId w:val="8"/>
        </w:numPr>
        <w:autoSpaceDE w:val="0"/>
        <w:autoSpaceDN w:val="0"/>
        <w:adjustRightInd w:val="0"/>
        <w:ind w:left="426" w:hanging="426"/>
        <w:jc w:val="both"/>
      </w:pPr>
      <w:r w:rsidRPr="00D50E91">
        <w:t>204. § (4) és (5) bekezdésében az „(1) bekezdésben” szövegrész helyett a „(3) bekezdésben” szöveg,</w:t>
      </w:r>
    </w:p>
    <w:p w:rsidR="00854875" w:rsidRPr="00D50E91" w:rsidRDefault="00854875" w:rsidP="00854875">
      <w:pPr>
        <w:pStyle w:val="Listaszerbekezds"/>
        <w:numPr>
          <w:ilvl w:val="0"/>
          <w:numId w:val="8"/>
        </w:numPr>
        <w:autoSpaceDE w:val="0"/>
        <w:autoSpaceDN w:val="0"/>
        <w:adjustRightInd w:val="0"/>
        <w:ind w:left="426" w:hanging="426"/>
        <w:jc w:val="both"/>
      </w:pPr>
      <w:r w:rsidRPr="00D50E91">
        <w:t>204. § (6) bekezdésében a „tűzoltó</w:t>
      </w:r>
      <w:r w:rsidR="003528A8">
        <w:t>-</w:t>
      </w:r>
      <w:r w:rsidRPr="00D50E91">
        <w:t>technikai terméket” szövegrész helyébe a „tűzoltó készüléket” szöveg,</w:t>
      </w:r>
    </w:p>
    <w:p w:rsidR="00854875" w:rsidRPr="00D50E91" w:rsidRDefault="00854875" w:rsidP="00854875">
      <w:pPr>
        <w:pStyle w:val="Listaszerbekezds"/>
        <w:numPr>
          <w:ilvl w:val="0"/>
          <w:numId w:val="8"/>
        </w:numPr>
        <w:autoSpaceDE w:val="0"/>
        <w:autoSpaceDN w:val="0"/>
        <w:adjustRightInd w:val="0"/>
        <w:ind w:left="426" w:hanging="426"/>
        <w:jc w:val="both"/>
      </w:pPr>
      <w:r w:rsidRPr="00D50E91">
        <w:t>205. § (2) és (3) bekezdésében a „menekülésre számításba vett” szövegrész helyébe a „lakáson kívüli” szöveg,</w:t>
      </w:r>
    </w:p>
    <w:p w:rsidR="00854875" w:rsidRPr="00D50E91" w:rsidRDefault="00854875" w:rsidP="00854875">
      <w:pPr>
        <w:pStyle w:val="Listaszerbekezds"/>
        <w:numPr>
          <w:ilvl w:val="0"/>
          <w:numId w:val="8"/>
        </w:numPr>
        <w:autoSpaceDE w:val="0"/>
        <w:autoSpaceDN w:val="0"/>
        <w:adjustRightInd w:val="0"/>
        <w:ind w:left="426" w:hanging="426"/>
        <w:jc w:val="both"/>
      </w:pPr>
      <w:r w:rsidRPr="00D50E91">
        <w:t>206. § (1) bekezdésében a „15 nappal” szövegrész helyébe a „legalább 15 nappal” szöveg,</w:t>
      </w:r>
    </w:p>
    <w:p w:rsidR="00854875" w:rsidRPr="00D50E91" w:rsidRDefault="00854875" w:rsidP="00854875">
      <w:pPr>
        <w:pStyle w:val="Listaszerbekezds"/>
        <w:numPr>
          <w:ilvl w:val="0"/>
          <w:numId w:val="8"/>
        </w:numPr>
        <w:autoSpaceDE w:val="0"/>
        <w:autoSpaceDN w:val="0"/>
        <w:adjustRightInd w:val="0"/>
        <w:ind w:left="426" w:hanging="426"/>
        <w:jc w:val="both"/>
      </w:pPr>
      <w:r w:rsidRPr="00D50E91">
        <w:t>223. §</w:t>
      </w:r>
      <w:r w:rsidR="003528A8">
        <w:t>-</w:t>
      </w:r>
      <w:r w:rsidRPr="00D50E91">
        <w:t>ában a „Dohányozni szélcsendes időben” szövegrész helyébe a „Dohányozni csak szélcsendes időben, ” szöveg,</w:t>
      </w:r>
    </w:p>
    <w:p w:rsidR="00854875" w:rsidRPr="00D50E91" w:rsidRDefault="00854875" w:rsidP="00854875">
      <w:pPr>
        <w:pStyle w:val="Listaszerbekezds"/>
        <w:numPr>
          <w:ilvl w:val="0"/>
          <w:numId w:val="8"/>
        </w:numPr>
        <w:autoSpaceDE w:val="0"/>
        <w:autoSpaceDN w:val="0"/>
        <w:adjustRightInd w:val="0"/>
        <w:ind w:left="426" w:hanging="426"/>
        <w:jc w:val="both"/>
      </w:pPr>
      <w:r w:rsidRPr="00D50E91">
        <w:lastRenderedPageBreak/>
        <w:t>225. § (1) bekezdésében a „belterületi ingatlanok” szövegrész helyébe a „belterületi, valamint a külterületen lévő zártkerti ingatlanok” szöveg,</w:t>
      </w:r>
    </w:p>
    <w:p w:rsidR="00854875" w:rsidRPr="00D50E91" w:rsidRDefault="00854875" w:rsidP="00854875">
      <w:pPr>
        <w:pStyle w:val="Listaszerbekezds"/>
        <w:numPr>
          <w:ilvl w:val="0"/>
          <w:numId w:val="8"/>
        </w:numPr>
        <w:autoSpaceDE w:val="0"/>
        <w:autoSpaceDN w:val="0"/>
        <w:adjustRightInd w:val="0"/>
        <w:ind w:left="426" w:hanging="426"/>
        <w:jc w:val="both"/>
      </w:pPr>
      <w:r w:rsidRPr="00D50E91">
        <w:t>225. § (2) bekezdésében a „katasztrófavédelmi szerv” szövegrész helyébe a „tűzoltóság” szöveg,</w:t>
      </w:r>
    </w:p>
    <w:p w:rsidR="00854875" w:rsidRPr="00D50E91" w:rsidRDefault="00854875" w:rsidP="00854875">
      <w:pPr>
        <w:pStyle w:val="Listaszerbekezds"/>
        <w:numPr>
          <w:ilvl w:val="0"/>
          <w:numId w:val="8"/>
        </w:numPr>
        <w:autoSpaceDE w:val="0"/>
        <w:autoSpaceDN w:val="0"/>
        <w:adjustRightInd w:val="0"/>
        <w:ind w:left="426" w:hanging="426"/>
        <w:jc w:val="both"/>
      </w:pPr>
      <w:r w:rsidRPr="00D50E91">
        <w:t>227. § (1) bekezdés b) pontjában a „körül kell szántani” szövegrész helyébe a „körül kell szántani vagy tárcsázni” szöveg,</w:t>
      </w:r>
    </w:p>
    <w:p w:rsidR="00854875" w:rsidRPr="00D50E91" w:rsidRDefault="00854875" w:rsidP="00854875">
      <w:pPr>
        <w:pStyle w:val="Listaszerbekezds"/>
        <w:numPr>
          <w:ilvl w:val="0"/>
          <w:numId w:val="8"/>
        </w:numPr>
        <w:autoSpaceDE w:val="0"/>
        <w:autoSpaceDN w:val="0"/>
        <w:adjustRightInd w:val="0"/>
        <w:ind w:left="426" w:hanging="426"/>
        <w:jc w:val="both"/>
      </w:pPr>
      <w:r w:rsidRPr="00D50E91">
        <w:t>227. § (1) bekezdés b) pontjában a „védősávot kell szántással biztosítani” szövegrész helyébe a „védősávot kell szántással vagy tárcsázással biztosítani” szöveg,</w:t>
      </w:r>
    </w:p>
    <w:p w:rsidR="00854875" w:rsidRPr="00D50E91" w:rsidRDefault="00854875" w:rsidP="00854875">
      <w:pPr>
        <w:pStyle w:val="Listaszerbekezds"/>
        <w:numPr>
          <w:ilvl w:val="0"/>
          <w:numId w:val="8"/>
        </w:numPr>
        <w:autoSpaceDE w:val="0"/>
        <w:autoSpaceDN w:val="0"/>
        <w:adjustRightInd w:val="0"/>
        <w:ind w:left="426" w:hanging="426"/>
        <w:jc w:val="both"/>
      </w:pPr>
      <w:r w:rsidRPr="00D50E91">
        <w:t>227. § (1) bekezdés d) pontjában a „traktort ekével” szövegrész helyébe a „mezőgazdasági vontatót ekével, vagy tárcsával” szöveg,</w:t>
      </w:r>
    </w:p>
    <w:p w:rsidR="00854875" w:rsidRPr="00D50E91" w:rsidRDefault="00854875" w:rsidP="00854875">
      <w:pPr>
        <w:pStyle w:val="Listaszerbekezds"/>
        <w:numPr>
          <w:ilvl w:val="0"/>
          <w:numId w:val="8"/>
        </w:numPr>
        <w:autoSpaceDE w:val="0"/>
        <w:autoSpaceDN w:val="0"/>
        <w:adjustRightInd w:val="0"/>
        <w:ind w:left="426" w:hanging="426"/>
        <w:jc w:val="both"/>
      </w:pPr>
      <w:r w:rsidRPr="00D50E91">
        <w:t>230. § (1) bekezdésében az „az összehúzott szalmát és kazlat” szövegrész helyébe az „a kazlat” szöveg,</w:t>
      </w:r>
    </w:p>
    <w:p w:rsidR="00854875" w:rsidRPr="00D50E91" w:rsidRDefault="00854875" w:rsidP="00854875">
      <w:pPr>
        <w:pStyle w:val="Listaszerbekezds"/>
        <w:numPr>
          <w:ilvl w:val="0"/>
          <w:numId w:val="8"/>
        </w:numPr>
        <w:autoSpaceDE w:val="0"/>
        <w:autoSpaceDN w:val="0"/>
        <w:adjustRightInd w:val="0"/>
        <w:ind w:left="426" w:hanging="426"/>
        <w:jc w:val="both"/>
      </w:pPr>
      <w:r w:rsidRPr="00D50E91">
        <w:t>232. § (1) bekezdésében a „Robbanásveszélyes osztályú” szövegrész helyébe a „Fokozottan tűz</w:t>
      </w:r>
      <w:r w:rsidR="003528A8">
        <w:t>-</w:t>
      </w:r>
      <w:r w:rsidRPr="00D50E91">
        <w:t xml:space="preserve"> vagy robbanásveszélyes osztályba tartozó” szöveg,</w:t>
      </w:r>
    </w:p>
    <w:p w:rsidR="00854875" w:rsidRPr="00D50E91" w:rsidRDefault="00854875" w:rsidP="00854875">
      <w:pPr>
        <w:pStyle w:val="Listaszerbekezds"/>
        <w:numPr>
          <w:ilvl w:val="0"/>
          <w:numId w:val="8"/>
        </w:numPr>
        <w:autoSpaceDE w:val="0"/>
        <w:autoSpaceDN w:val="0"/>
        <w:adjustRightInd w:val="0"/>
        <w:ind w:left="426" w:hanging="426"/>
        <w:jc w:val="both"/>
      </w:pPr>
      <w:r w:rsidRPr="00D50E91">
        <w:t>232. § (6) bekezdésében a „I</w:t>
      </w:r>
      <w:r w:rsidR="003528A8">
        <w:t>-</w:t>
      </w:r>
      <w:r w:rsidRPr="00D50E91">
        <w:t>II. tűzveszélyességi fokozatú” szövegrész helyébe a „Lakóépületben fokozottan tűz</w:t>
      </w:r>
      <w:r w:rsidR="003528A8">
        <w:t>-</w:t>
      </w:r>
      <w:r w:rsidRPr="00D50E91">
        <w:t xml:space="preserve"> vagy robbanásveszélyes osztályba tartozó” szöveg,</w:t>
      </w:r>
    </w:p>
    <w:p w:rsidR="00854875" w:rsidRPr="00D50E91" w:rsidRDefault="00854875" w:rsidP="00854875">
      <w:pPr>
        <w:pStyle w:val="Listaszerbekezds"/>
        <w:numPr>
          <w:ilvl w:val="0"/>
          <w:numId w:val="8"/>
        </w:numPr>
        <w:autoSpaceDE w:val="0"/>
        <w:autoSpaceDN w:val="0"/>
        <w:adjustRightInd w:val="0"/>
        <w:ind w:left="426" w:hanging="426"/>
        <w:jc w:val="both"/>
      </w:pPr>
      <w:r w:rsidRPr="00D50E91">
        <w:t>233. § (1) és (2) bekezdésében, a 240. § (5) bekezdésében a „III. tűzveszélyességi fokozatú” szövegrész helyébe a „mérsékelten tűzveszélyes osztályba tartozó” szöveg,</w:t>
      </w:r>
    </w:p>
    <w:p w:rsidR="00854875" w:rsidRPr="00D50E91" w:rsidRDefault="00854875" w:rsidP="00854875">
      <w:pPr>
        <w:pStyle w:val="Listaszerbekezds"/>
        <w:numPr>
          <w:ilvl w:val="0"/>
          <w:numId w:val="8"/>
        </w:numPr>
        <w:autoSpaceDE w:val="0"/>
        <w:autoSpaceDN w:val="0"/>
        <w:adjustRightInd w:val="0"/>
        <w:ind w:left="426" w:hanging="426"/>
        <w:jc w:val="both"/>
      </w:pPr>
      <w:r w:rsidRPr="00D50E91">
        <w:t>235. § (1) bekezdésében az „I</w:t>
      </w:r>
      <w:r w:rsidR="003528A8">
        <w:t>-</w:t>
      </w:r>
      <w:r w:rsidRPr="00D50E91">
        <w:t>III. tűzveszélyességi fokozatú” szöveg helyébe a „fokozottan tűz</w:t>
      </w:r>
      <w:r w:rsidR="003528A8">
        <w:t>-</w:t>
      </w:r>
      <w:r w:rsidRPr="00D50E91">
        <w:t xml:space="preserve"> vagy robbanásveszélyes osztályba tartozó” szöveg</w:t>
      </w:r>
      <w:r w:rsidR="003B029E" w:rsidRPr="00D50E91">
        <w:t>,</w:t>
      </w:r>
    </w:p>
    <w:p w:rsidR="003B029E" w:rsidRPr="00D50E91" w:rsidRDefault="003B029E" w:rsidP="003B029E">
      <w:pPr>
        <w:pStyle w:val="Listaszerbekezds"/>
        <w:numPr>
          <w:ilvl w:val="0"/>
          <w:numId w:val="8"/>
        </w:numPr>
        <w:autoSpaceDE w:val="0"/>
        <w:autoSpaceDN w:val="0"/>
        <w:adjustRightInd w:val="0"/>
        <w:ind w:left="426" w:hanging="426"/>
        <w:jc w:val="both"/>
      </w:pPr>
      <w:r w:rsidRPr="00D50E91">
        <w:t>240. § (5) bekezdésében a „2 l</w:t>
      </w:r>
      <w:r w:rsidR="003528A8">
        <w:t>-</w:t>
      </w:r>
      <w:r w:rsidRPr="00D50E91">
        <w:t>t” szövegrész helyébe az „5 l</w:t>
      </w:r>
      <w:r w:rsidR="003528A8">
        <w:t>-</w:t>
      </w:r>
      <w:r w:rsidRPr="00D50E91">
        <w:t>t” szöveg</w:t>
      </w:r>
    </w:p>
    <w:p w:rsidR="00854875" w:rsidRPr="00D50E91" w:rsidRDefault="00854875" w:rsidP="00854875">
      <w:pPr>
        <w:autoSpaceDE w:val="0"/>
        <w:autoSpaceDN w:val="0"/>
        <w:adjustRightInd w:val="0"/>
        <w:jc w:val="both"/>
      </w:pPr>
      <w:r w:rsidRPr="00D50E91">
        <w:t>lép.</w:t>
      </w:r>
    </w:p>
    <w:p w:rsidR="00854875" w:rsidRPr="00D50E91" w:rsidRDefault="00854875" w:rsidP="00854875">
      <w:pPr>
        <w:autoSpaceDE w:val="0"/>
        <w:autoSpaceDN w:val="0"/>
        <w:adjustRightInd w:val="0"/>
        <w:jc w:val="both"/>
      </w:pPr>
    </w:p>
    <w:p w:rsidR="00854875" w:rsidRPr="00D50E91" w:rsidRDefault="00854875" w:rsidP="00854875">
      <w:pPr>
        <w:autoSpaceDE w:val="0"/>
        <w:autoSpaceDN w:val="0"/>
        <w:adjustRightInd w:val="0"/>
        <w:jc w:val="both"/>
      </w:pPr>
      <w:r w:rsidRPr="00D50E91">
        <w:t>(7) Az R.</w:t>
      </w:r>
    </w:p>
    <w:p w:rsidR="00854875" w:rsidRPr="00D50E91" w:rsidRDefault="00854875" w:rsidP="00854875">
      <w:pPr>
        <w:pStyle w:val="Listaszerbekezds"/>
        <w:numPr>
          <w:ilvl w:val="0"/>
          <w:numId w:val="9"/>
        </w:numPr>
        <w:autoSpaceDE w:val="0"/>
        <w:autoSpaceDN w:val="0"/>
        <w:adjustRightInd w:val="0"/>
        <w:ind w:left="426" w:hanging="426"/>
        <w:jc w:val="both"/>
      </w:pPr>
      <w:r w:rsidRPr="00D50E91">
        <w:t>248. § (3) bekezdésében a „azonnal, egyéb esetben legfeljebb 10 munkanapon belül” szövegrész helyébe a „legfeljebb 3 munkanapon belül” szöveg,</w:t>
      </w:r>
    </w:p>
    <w:p w:rsidR="00854875" w:rsidRPr="00D50E91" w:rsidRDefault="00854875" w:rsidP="00854875">
      <w:pPr>
        <w:pStyle w:val="Listaszerbekezds"/>
        <w:numPr>
          <w:ilvl w:val="0"/>
          <w:numId w:val="9"/>
        </w:numPr>
        <w:autoSpaceDE w:val="0"/>
        <w:autoSpaceDN w:val="0"/>
        <w:adjustRightInd w:val="0"/>
        <w:ind w:left="426" w:hanging="426"/>
        <w:jc w:val="both"/>
      </w:pPr>
      <w:r w:rsidRPr="00D50E91">
        <w:t>248. § (4) bekezdésében az „írásban” szövegrész helyébe a „papír alapon vagy elektronikusan írásban” szöveg,</w:t>
      </w:r>
    </w:p>
    <w:p w:rsidR="00854875" w:rsidRPr="00D50E91" w:rsidRDefault="00854875" w:rsidP="00854875">
      <w:pPr>
        <w:pStyle w:val="Listaszerbekezds"/>
        <w:numPr>
          <w:ilvl w:val="0"/>
          <w:numId w:val="9"/>
        </w:numPr>
        <w:autoSpaceDE w:val="0"/>
        <w:autoSpaceDN w:val="0"/>
        <w:adjustRightInd w:val="0"/>
        <w:ind w:left="426" w:hanging="426"/>
        <w:jc w:val="both"/>
      </w:pPr>
      <w:r w:rsidRPr="00D50E91">
        <w:t>253. § (3) bekezdésében a „hibákat haladéktalanul ki kell javítani” szövegrész helyébe a „hibák javítására haladéktalanul intézkedni kell” szöveg,</w:t>
      </w:r>
    </w:p>
    <w:p w:rsidR="00854875" w:rsidRPr="00D50E91" w:rsidRDefault="00854875" w:rsidP="00854875">
      <w:pPr>
        <w:pStyle w:val="Listaszerbekezds"/>
        <w:numPr>
          <w:ilvl w:val="0"/>
          <w:numId w:val="9"/>
        </w:numPr>
        <w:autoSpaceDE w:val="0"/>
        <w:autoSpaceDN w:val="0"/>
        <w:adjustRightInd w:val="0"/>
        <w:ind w:left="426" w:hanging="426"/>
        <w:jc w:val="both"/>
      </w:pPr>
      <w:r w:rsidRPr="00D50E91">
        <w:t>254. § (1) bekezdés h) pontjában, a 264. § (7) bekezdés e) pontjában az „aláírását” szövegrész helyébe az „aláírását vagy elektronikusan vezetett napló esetén egyértelmű azonosítását,</w:t>
      </w:r>
    </w:p>
    <w:p w:rsidR="00854875" w:rsidRPr="00D50E91" w:rsidRDefault="00854875" w:rsidP="00854875">
      <w:pPr>
        <w:pStyle w:val="Listaszerbekezds"/>
        <w:numPr>
          <w:ilvl w:val="0"/>
          <w:numId w:val="9"/>
        </w:numPr>
        <w:autoSpaceDE w:val="0"/>
        <w:autoSpaceDN w:val="0"/>
        <w:adjustRightInd w:val="0"/>
        <w:ind w:left="426" w:hanging="426"/>
        <w:jc w:val="both"/>
      </w:pPr>
      <w:r w:rsidRPr="00D50E91">
        <w:t>255. § (1) bekezdésében, a 257. § (1) bekezdés c) pontjában, (3) bekezdésében az „üzembentartó” szövegrész helyébe az „üzemeltető” szöveg,</w:t>
      </w:r>
    </w:p>
    <w:p w:rsidR="00854875" w:rsidRPr="00D50E91" w:rsidRDefault="00854875" w:rsidP="00854875">
      <w:pPr>
        <w:pStyle w:val="Listaszerbekezds"/>
        <w:numPr>
          <w:ilvl w:val="0"/>
          <w:numId w:val="9"/>
        </w:numPr>
        <w:autoSpaceDE w:val="0"/>
        <w:autoSpaceDN w:val="0"/>
        <w:adjustRightInd w:val="0"/>
        <w:ind w:left="426" w:hanging="426"/>
        <w:jc w:val="both"/>
      </w:pPr>
      <w:r w:rsidRPr="00D50E91">
        <w:t>255. § (1) bekezdés a) pontjában a „karbantartót” szövegrész helyébe a „jogosult személyt” szöveg,</w:t>
      </w:r>
    </w:p>
    <w:p w:rsidR="00854875" w:rsidRPr="00D50E91" w:rsidRDefault="00854875" w:rsidP="00854875">
      <w:pPr>
        <w:pStyle w:val="Listaszerbekezds"/>
        <w:numPr>
          <w:ilvl w:val="0"/>
          <w:numId w:val="9"/>
        </w:numPr>
        <w:autoSpaceDE w:val="0"/>
        <w:autoSpaceDN w:val="0"/>
        <w:adjustRightInd w:val="0"/>
        <w:ind w:left="426" w:hanging="426"/>
        <w:jc w:val="both"/>
      </w:pPr>
      <w:r w:rsidRPr="00D50E91">
        <w:t>255. § (5) és (6) bekezdésében az „üzembentartó által a beépített tűzjelző berendezés megfelelő működésének, a személyi, környezeti és műszaki feltételek ellenőrzésével megbízott” szövegrész helyébe az „üzemeltetői ellenőrzést végző” szöveg,</w:t>
      </w:r>
    </w:p>
    <w:p w:rsidR="00854875" w:rsidRPr="00D50E91" w:rsidRDefault="00854875" w:rsidP="00854875">
      <w:pPr>
        <w:pStyle w:val="Listaszerbekezds"/>
        <w:numPr>
          <w:ilvl w:val="0"/>
          <w:numId w:val="9"/>
        </w:numPr>
        <w:autoSpaceDE w:val="0"/>
        <w:autoSpaceDN w:val="0"/>
        <w:adjustRightInd w:val="0"/>
        <w:ind w:left="426" w:hanging="426"/>
        <w:jc w:val="both"/>
      </w:pPr>
      <w:r w:rsidRPr="00D50E91">
        <w:t>255. § (6) bekezdés a) pontjában az „a (4) bekezdésben” szövegrész helyébe az „az (5) bekezdésben” szöveg,</w:t>
      </w:r>
    </w:p>
    <w:p w:rsidR="00854875" w:rsidRPr="00D50E91" w:rsidRDefault="00854875" w:rsidP="00854875">
      <w:pPr>
        <w:pStyle w:val="Listaszerbekezds"/>
        <w:numPr>
          <w:ilvl w:val="0"/>
          <w:numId w:val="9"/>
        </w:numPr>
        <w:autoSpaceDE w:val="0"/>
        <w:autoSpaceDN w:val="0"/>
        <w:adjustRightInd w:val="0"/>
        <w:ind w:left="426" w:hanging="426"/>
        <w:jc w:val="both"/>
      </w:pPr>
      <w:r w:rsidRPr="00D50E91">
        <w:t>257. § (1)</w:t>
      </w:r>
      <w:r w:rsidR="003528A8">
        <w:t>-</w:t>
      </w:r>
      <w:r w:rsidRPr="00D50E91">
        <w:t>(3) bekezdésében a „felülvizsgálatra és karbantartásra vonatkozó képesítéssel rendelkező” szövegrész helyébe a „jogosult” szöveg,</w:t>
      </w:r>
    </w:p>
    <w:p w:rsidR="00854875" w:rsidRPr="00D50E91" w:rsidRDefault="00854875" w:rsidP="00854875">
      <w:pPr>
        <w:pStyle w:val="Listaszerbekezds"/>
        <w:numPr>
          <w:ilvl w:val="0"/>
          <w:numId w:val="9"/>
        </w:numPr>
        <w:autoSpaceDE w:val="0"/>
        <w:autoSpaceDN w:val="0"/>
        <w:adjustRightInd w:val="0"/>
        <w:ind w:left="426" w:hanging="426"/>
        <w:jc w:val="both"/>
      </w:pPr>
      <w:r w:rsidRPr="00D50E91">
        <w:t>259. § (4) bekezdésében a „felülvizsgálatot, karbantartást végző” szövegrész helyébe a „jogosult” szöveg,</w:t>
      </w:r>
    </w:p>
    <w:p w:rsidR="00854875" w:rsidRPr="00D50E91" w:rsidRDefault="00854875" w:rsidP="00854875">
      <w:pPr>
        <w:pStyle w:val="Listaszerbekezds"/>
        <w:numPr>
          <w:ilvl w:val="0"/>
          <w:numId w:val="9"/>
        </w:numPr>
        <w:autoSpaceDE w:val="0"/>
        <w:autoSpaceDN w:val="0"/>
        <w:adjustRightInd w:val="0"/>
        <w:ind w:left="426" w:hanging="426"/>
        <w:jc w:val="both"/>
      </w:pPr>
      <w:r w:rsidRPr="00D50E91">
        <w:t>260. § (1) bekezdésében a „felülvizsgálatot végző” szövegrész helyébe a „jogosult” szöveg,</w:t>
      </w:r>
    </w:p>
    <w:p w:rsidR="00854875" w:rsidRPr="00D50E91" w:rsidRDefault="00854875" w:rsidP="00854875">
      <w:pPr>
        <w:pStyle w:val="Listaszerbekezds"/>
        <w:numPr>
          <w:ilvl w:val="0"/>
          <w:numId w:val="9"/>
        </w:numPr>
        <w:autoSpaceDE w:val="0"/>
        <w:autoSpaceDN w:val="0"/>
        <w:adjustRightInd w:val="0"/>
        <w:ind w:left="426" w:hanging="426"/>
        <w:jc w:val="both"/>
      </w:pPr>
      <w:r w:rsidRPr="00D50E91">
        <w:t>260. § (2)</w:t>
      </w:r>
      <w:r w:rsidR="003528A8">
        <w:t>-</w:t>
      </w:r>
      <w:r w:rsidRPr="00D50E91">
        <w:t>(5) bekezdésében, a 261. § (2) és (3) bekezdésében az „az ellenőrzést végző” szövegrész helyébe az „a jogosult” szöveg,</w:t>
      </w:r>
    </w:p>
    <w:p w:rsidR="00854875" w:rsidRPr="00D50E91" w:rsidRDefault="00854875" w:rsidP="00854875">
      <w:pPr>
        <w:pStyle w:val="Listaszerbekezds"/>
        <w:numPr>
          <w:ilvl w:val="0"/>
          <w:numId w:val="9"/>
        </w:numPr>
        <w:autoSpaceDE w:val="0"/>
        <w:autoSpaceDN w:val="0"/>
        <w:adjustRightInd w:val="0"/>
        <w:ind w:left="426" w:hanging="426"/>
        <w:jc w:val="both"/>
      </w:pPr>
      <w:r w:rsidRPr="00D50E91">
        <w:t>260. § (3) bekezdés b) pontjában a „rendszerhez” szövegrész helyébe a „berendezéshez” szöveg,</w:t>
      </w:r>
    </w:p>
    <w:p w:rsidR="00854875" w:rsidRPr="00D50E91" w:rsidRDefault="00854875" w:rsidP="00854875">
      <w:pPr>
        <w:pStyle w:val="Listaszerbekezds"/>
        <w:numPr>
          <w:ilvl w:val="0"/>
          <w:numId w:val="9"/>
        </w:numPr>
        <w:autoSpaceDE w:val="0"/>
        <w:autoSpaceDN w:val="0"/>
        <w:adjustRightInd w:val="0"/>
        <w:ind w:left="426" w:hanging="426"/>
        <w:jc w:val="both"/>
      </w:pPr>
      <w:r w:rsidRPr="00D50E91">
        <w:t>260. § (6) bekezdésében, 261. § (1) bekezdésében a „vizsgálatot végző” szövegrész helyébe a „jogosult” szöveg,</w:t>
      </w:r>
    </w:p>
    <w:p w:rsidR="00854875" w:rsidRPr="00D50E91" w:rsidRDefault="00854875" w:rsidP="00854875">
      <w:pPr>
        <w:pStyle w:val="Listaszerbekezds"/>
        <w:numPr>
          <w:ilvl w:val="0"/>
          <w:numId w:val="9"/>
        </w:numPr>
        <w:autoSpaceDE w:val="0"/>
        <w:autoSpaceDN w:val="0"/>
        <w:adjustRightInd w:val="0"/>
        <w:ind w:left="426" w:hanging="426"/>
        <w:jc w:val="both"/>
      </w:pPr>
      <w:r w:rsidRPr="00D50E91">
        <w:lastRenderedPageBreak/>
        <w:t>262. § (3) bekezdésében a „tömítetlen csövek” szövegrész helyébe a „tömítetlen, szilárd korróziós szennyeződéseket tartalmazó csövek” szöveg,</w:t>
      </w:r>
    </w:p>
    <w:p w:rsidR="00854875" w:rsidRPr="00D50E91" w:rsidRDefault="00854875" w:rsidP="00854875">
      <w:pPr>
        <w:pStyle w:val="Listaszerbekezds"/>
        <w:numPr>
          <w:ilvl w:val="0"/>
          <w:numId w:val="9"/>
        </w:numPr>
        <w:autoSpaceDE w:val="0"/>
        <w:autoSpaceDN w:val="0"/>
        <w:adjustRightInd w:val="0"/>
        <w:ind w:left="426" w:hanging="426"/>
        <w:jc w:val="both"/>
      </w:pPr>
      <w:r w:rsidRPr="00D50E91">
        <w:t>264. § (7) bekezdés c) pontjában a „vagy” szövegrész helyébe az „és” szöveg,</w:t>
      </w:r>
    </w:p>
    <w:p w:rsidR="00854875" w:rsidRPr="00D50E91" w:rsidRDefault="00854875" w:rsidP="00854875">
      <w:pPr>
        <w:pStyle w:val="Listaszerbekezds"/>
        <w:numPr>
          <w:ilvl w:val="0"/>
          <w:numId w:val="9"/>
        </w:numPr>
        <w:autoSpaceDE w:val="0"/>
        <w:autoSpaceDN w:val="0"/>
        <w:adjustRightInd w:val="0"/>
        <w:ind w:left="426" w:hanging="426"/>
        <w:jc w:val="both"/>
      </w:pPr>
      <w:r w:rsidRPr="00D50E91">
        <w:t>264. § (7) bekezdés c) pontjában a „gyártási száma” szövegrész helyébe a „gyártási száma vagy tételszáma” szövegrész,</w:t>
      </w:r>
    </w:p>
    <w:p w:rsidR="00854875" w:rsidRPr="00D50E91" w:rsidRDefault="00854875" w:rsidP="00854875">
      <w:pPr>
        <w:pStyle w:val="Listaszerbekezds"/>
        <w:numPr>
          <w:ilvl w:val="0"/>
          <w:numId w:val="9"/>
        </w:numPr>
        <w:autoSpaceDE w:val="0"/>
        <w:autoSpaceDN w:val="0"/>
        <w:adjustRightInd w:val="0"/>
        <w:ind w:left="426" w:hanging="426"/>
        <w:jc w:val="both"/>
      </w:pPr>
      <w:r w:rsidRPr="00D50E91">
        <w:t>267. § (3) bekezdésében a „nyilvántartással rendelkezik” szövegrész helyébe a „tűzvédelmi üzemeltetési naplót vezet” szöveg,</w:t>
      </w:r>
    </w:p>
    <w:p w:rsidR="00854875" w:rsidRPr="00D50E91" w:rsidRDefault="00854875" w:rsidP="00854875">
      <w:pPr>
        <w:pStyle w:val="Listaszerbekezds"/>
        <w:numPr>
          <w:ilvl w:val="0"/>
          <w:numId w:val="9"/>
        </w:numPr>
        <w:autoSpaceDE w:val="0"/>
        <w:autoSpaceDN w:val="0"/>
        <w:adjustRightInd w:val="0"/>
        <w:ind w:left="426" w:hanging="426"/>
        <w:jc w:val="both"/>
      </w:pPr>
      <w:r w:rsidRPr="00D50E91">
        <w:t>267. § (3) bekezdésében a „nyilvántartás” szövegrész helyébe a „napló” szöveg,</w:t>
      </w:r>
    </w:p>
    <w:p w:rsidR="00854875" w:rsidRPr="00D50E91" w:rsidRDefault="00854875" w:rsidP="00854875">
      <w:pPr>
        <w:pStyle w:val="Listaszerbekezds"/>
        <w:numPr>
          <w:ilvl w:val="0"/>
          <w:numId w:val="9"/>
        </w:numPr>
        <w:autoSpaceDE w:val="0"/>
        <w:autoSpaceDN w:val="0"/>
        <w:adjustRightInd w:val="0"/>
        <w:ind w:left="426" w:hanging="426"/>
        <w:jc w:val="both"/>
      </w:pPr>
      <w:r w:rsidRPr="00D50E91">
        <w:t>267. § (4) bekezdésében a „nyilvántartás” szövegrész helyébe a „tűzvédelmi üzemeltetési napló” szöveg,</w:t>
      </w:r>
    </w:p>
    <w:p w:rsidR="00854875" w:rsidRPr="00D50E91" w:rsidRDefault="00854875" w:rsidP="00854875">
      <w:pPr>
        <w:pStyle w:val="Listaszerbekezds"/>
        <w:numPr>
          <w:ilvl w:val="0"/>
          <w:numId w:val="9"/>
        </w:numPr>
        <w:autoSpaceDE w:val="0"/>
        <w:autoSpaceDN w:val="0"/>
        <w:adjustRightInd w:val="0"/>
        <w:ind w:left="426" w:hanging="426"/>
        <w:jc w:val="both"/>
      </w:pPr>
      <w:r w:rsidRPr="00D50E91">
        <w:t>269. § (1) bekezdésében a „félévenként kell felülvizsgálni és ötévenként nyomáspróbázni” szövegrész helyébe az „évenként kell felülvizsgálni és ötévenként a teljes rendszert nyomáspróbázni” szöveg,</w:t>
      </w:r>
    </w:p>
    <w:p w:rsidR="00854875" w:rsidRPr="00D50E91" w:rsidRDefault="00854875" w:rsidP="00854875">
      <w:pPr>
        <w:pStyle w:val="Listaszerbekezds"/>
        <w:numPr>
          <w:ilvl w:val="0"/>
          <w:numId w:val="9"/>
        </w:numPr>
        <w:autoSpaceDE w:val="0"/>
        <w:autoSpaceDN w:val="0"/>
        <w:adjustRightInd w:val="0"/>
        <w:ind w:left="426" w:hanging="426"/>
        <w:jc w:val="both"/>
      </w:pPr>
      <w:r w:rsidRPr="00D50E91">
        <w:t>269. § (2) és (6) bekezdésében, 270. § (4) bekezdésében a „féléves” szövegrész helyébe az „éves” szöveg,</w:t>
      </w:r>
    </w:p>
    <w:p w:rsidR="00854875" w:rsidRPr="00D50E91" w:rsidRDefault="00854875" w:rsidP="00854875">
      <w:pPr>
        <w:pStyle w:val="Listaszerbekezds"/>
        <w:numPr>
          <w:ilvl w:val="0"/>
          <w:numId w:val="9"/>
        </w:numPr>
        <w:autoSpaceDE w:val="0"/>
        <w:autoSpaceDN w:val="0"/>
        <w:adjustRightInd w:val="0"/>
        <w:ind w:left="426" w:hanging="426"/>
        <w:jc w:val="both"/>
      </w:pPr>
      <w:r w:rsidRPr="00D50E91">
        <w:t>270. § (1) bekezdésében a „víztározóról” szövegrész helyébe az „oltóvíztárolóból” szöveg,</w:t>
      </w:r>
    </w:p>
    <w:p w:rsidR="00854875" w:rsidRPr="00D50E91" w:rsidRDefault="00854875" w:rsidP="00854875">
      <w:pPr>
        <w:pStyle w:val="Listaszerbekezds"/>
        <w:numPr>
          <w:ilvl w:val="0"/>
          <w:numId w:val="9"/>
        </w:numPr>
        <w:autoSpaceDE w:val="0"/>
        <w:autoSpaceDN w:val="0"/>
        <w:adjustRightInd w:val="0"/>
        <w:ind w:left="426" w:hanging="426"/>
        <w:jc w:val="both"/>
      </w:pPr>
      <w:r w:rsidRPr="00D50E91">
        <w:t>270. § (3) bekezdés i) pontjában és a (6) bekezdés d) pontjában a „vízhozamát és” szövegrész helyébe a „vízhozamát – kivéve a közcélú ivóvízhálózaton üzemeltetett tűzcsapokat – és” szöveg,</w:t>
      </w:r>
    </w:p>
    <w:p w:rsidR="00854875" w:rsidRPr="00D50E91" w:rsidRDefault="00854875" w:rsidP="00854875">
      <w:pPr>
        <w:pStyle w:val="Listaszerbekezds"/>
        <w:numPr>
          <w:ilvl w:val="0"/>
          <w:numId w:val="9"/>
        </w:numPr>
        <w:autoSpaceDE w:val="0"/>
        <w:autoSpaceDN w:val="0"/>
        <w:adjustRightInd w:val="0"/>
        <w:ind w:left="426" w:hanging="426"/>
        <w:jc w:val="both"/>
      </w:pPr>
      <w:r w:rsidRPr="00D50E91">
        <w:t>274. § (1) bekezdésében a „félévenkénti” szövegrész helyébe az „évenkénti” szöveg,</w:t>
      </w:r>
    </w:p>
    <w:p w:rsidR="00854875" w:rsidRPr="00D50E91" w:rsidRDefault="00854875" w:rsidP="00854875">
      <w:pPr>
        <w:pStyle w:val="Listaszerbekezds"/>
        <w:numPr>
          <w:ilvl w:val="0"/>
          <w:numId w:val="9"/>
        </w:numPr>
        <w:autoSpaceDE w:val="0"/>
        <w:autoSpaceDN w:val="0"/>
        <w:adjustRightInd w:val="0"/>
        <w:ind w:left="426" w:hanging="426"/>
        <w:jc w:val="both"/>
      </w:pPr>
      <w:r w:rsidRPr="00D50E91">
        <w:t>274. § (2) bekezdésében az „A féléves” szövegrész helyébe „Az éves” szöveg,</w:t>
      </w:r>
    </w:p>
    <w:p w:rsidR="00854875" w:rsidRPr="00D50E91" w:rsidRDefault="00854875" w:rsidP="00854875">
      <w:pPr>
        <w:pStyle w:val="Listaszerbekezds"/>
        <w:numPr>
          <w:ilvl w:val="0"/>
          <w:numId w:val="9"/>
        </w:numPr>
        <w:autoSpaceDE w:val="0"/>
        <w:autoSpaceDN w:val="0"/>
        <w:adjustRightInd w:val="0"/>
        <w:ind w:left="426" w:hanging="426"/>
        <w:jc w:val="both"/>
      </w:pPr>
      <w:r w:rsidRPr="00D50E91">
        <w:t>275. § (1) bekezdésben a „féléves feladatokon felül a” szövegrész helyébe az „éves” szöveg,</w:t>
      </w:r>
    </w:p>
    <w:p w:rsidR="00854875" w:rsidRPr="00D50E91" w:rsidRDefault="00854875" w:rsidP="00854875">
      <w:pPr>
        <w:pStyle w:val="Listaszerbekezds"/>
        <w:numPr>
          <w:ilvl w:val="0"/>
          <w:numId w:val="9"/>
        </w:numPr>
        <w:autoSpaceDE w:val="0"/>
        <w:autoSpaceDN w:val="0"/>
        <w:adjustRightInd w:val="0"/>
        <w:ind w:left="426" w:hanging="426"/>
        <w:jc w:val="both"/>
      </w:pPr>
      <w:r w:rsidRPr="00D50E91">
        <w:t>275. § (2) bekezdésében az „1,5 Mpa” szövegrész helyébe a „1,0 Mpa” szöveg</w:t>
      </w:r>
    </w:p>
    <w:p w:rsidR="00854875" w:rsidRPr="00D50E91" w:rsidRDefault="00854875" w:rsidP="00854875">
      <w:pPr>
        <w:autoSpaceDE w:val="0"/>
        <w:autoSpaceDN w:val="0"/>
        <w:adjustRightInd w:val="0"/>
        <w:jc w:val="both"/>
      </w:pPr>
      <w:r w:rsidRPr="00D50E91">
        <w:t>lép.</w:t>
      </w:r>
    </w:p>
    <w:p w:rsidR="005B415B" w:rsidRPr="00D50E91" w:rsidRDefault="005B415B" w:rsidP="00B76098">
      <w:pPr>
        <w:autoSpaceDE w:val="0"/>
        <w:autoSpaceDN w:val="0"/>
        <w:adjustRightInd w:val="0"/>
        <w:jc w:val="both"/>
      </w:pPr>
    </w:p>
    <w:p w:rsidR="00E42596" w:rsidRPr="00D50E91" w:rsidRDefault="00E42596" w:rsidP="00E42596">
      <w:pPr>
        <w:keepNext/>
        <w:numPr>
          <w:ilvl w:val="0"/>
          <w:numId w:val="2"/>
        </w:numPr>
        <w:spacing w:line="276" w:lineRule="auto"/>
        <w:ind w:left="357" w:hanging="357"/>
        <w:jc w:val="center"/>
        <w:outlineLvl w:val="1"/>
        <w:rPr>
          <w:b/>
          <w:bCs/>
        </w:rPr>
      </w:pPr>
      <w:r w:rsidRPr="00D50E91">
        <w:rPr>
          <w:b/>
          <w:bCs/>
        </w:rPr>
        <w:t>§</w:t>
      </w:r>
    </w:p>
    <w:p w:rsidR="00E42596" w:rsidRPr="00D50E91" w:rsidRDefault="00E42596" w:rsidP="00E42596">
      <w:pPr>
        <w:autoSpaceDE w:val="0"/>
        <w:autoSpaceDN w:val="0"/>
        <w:adjustRightInd w:val="0"/>
        <w:jc w:val="both"/>
      </w:pPr>
    </w:p>
    <w:p w:rsidR="00E42596" w:rsidRPr="00D50E91" w:rsidRDefault="00E42596" w:rsidP="00E42596">
      <w:pPr>
        <w:autoSpaceDE w:val="0"/>
        <w:autoSpaceDN w:val="0"/>
        <w:adjustRightInd w:val="0"/>
        <w:jc w:val="both"/>
      </w:pPr>
      <w:r w:rsidRPr="00D50E91">
        <w:t>(1) Hatályát veszti az R.</w:t>
      </w:r>
    </w:p>
    <w:p w:rsidR="00E42596" w:rsidRPr="00D50E91" w:rsidRDefault="00E42596" w:rsidP="00E42596">
      <w:pPr>
        <w:pStyle w:val="Listaszerbekezds"/>
        <w:numPr>
          <w:ilvl w:val="0"/>
          <w:numId w:val="10"/>
        </w:numPr>
        <w:autoSpaceDE w:val="0"/>
        <w:autoSpaceDN w:val="0"/>
        <w:adjustRightInd w:val="0"/>
        <w:ind w:left="426" w:hanging="426"/>
        <w:jc w:val="both"/>
      </w:pPr>
      <w:r w:rsidRPr="00D50E91">
        <w:t>4. § (2) bekezdés 17. pontja,</w:t>
      </w:r>
    </w:p>
    <w:p w:rsidR="00E42596" w:rsidRPr="00D50E91" w:rsidRDefault="00E42596" w:rsidP="00E42596">
      <w:pPr>
        <w:pStyle w:val="Listaszerbekezds"/>
        <w:numPr>
          <w:ilvl w:val="0"/>
          <w:numId w:val="10"/>
        </w:numPr>
        <w:autoSpaceDE w:val="0"/>
        <w:autoSpaceDN w:val="0"/>
        <w:adjustRightInd w:val="0"/>
        <w:ind w:left="426" w:hanging="426"/>
        <w:jc w:val="both"/>
      </w:pPr>
      <w:r w:rsidRPr="00D50E91">
        <w:t>4. § (2) bekezdés 48. pontjában az „amely oldalhatáraival meggátolja a füst szétterülését, valamint korlátozza annak lehűlését a felhajtóerő biztosítása céljából,” szövegrész,</w:t>
      </w:r>
    </w:p>
    <w:p w:rsidR="00E42596" w:rsidRPr="00D50E91" w:rsidRDefault="00E42596" w:rsidP="00E42596">
      <w:pPr>
        <w:pStyle w:val="Listaszerbekezds"/>
        <w:numPr>
          <w:ilvl w:val="0"/>
          <w:numId w:val="10"/>
        </w:numPr>
        <w:autoSpaceDE w:val="0"/>
        <w:autoSpaceDN w:val="0"/>
        <w:adjustRightInd w:val="0"/>
        <w:ind w:left="426" w:hanging="426"/>
        <w:jc w:val="both"/>
      </w:pPr>
      <w:r w:rsidRPr="00D50E91">
        <w:t>4. § (2) bekezdés 93. pontja,</w:t>
      </w:r>
    </w:p>
    <w:p w:rsidR="00E42596" w:rsidRPr="00D50E91" w:rsidRDefault="00E42596" w:rsidP="00E42596">
      <w:pPr>
        <w:pStyle w:val="Listaszerbekezds"/>
        <w:numPr>
          <w:ilvl w:val="0"/>
          <w:numId w:val="10"/>
        </w:numPr>
        <w:autoSpaceDE w:val="0"/>
        <w:autoSpaceDN w:val="0"/>
        <w:adjustRightInd w:val="0"/>
        <w:ind w:left="426" w:hanging="426"/>
        <w:jc w:val="both"/>
      </w:pPr>
      <w:r w:rsidRPr="00D50E91">
        <w:t>4. § (2) bekezdés 127. pontja,</w:t>
      </w:r>
    </w:p>
    <w:p w:rsidR="00E42596" w:rsidRPr="00D50E91" w:rsidRDefault="00E42596" w:rsidP="00E42596">
      <w:pPr>
        <w:pStyle w:val="Listaszerbekezds"/>
        <w:numPr>
          <w:ilvl w:val="0"/>
          <w:numId w:val="10"/>
        </w:numPr>
        <w:autoSpaceDE w:val="0"/>
        <w:autoSpaceDN w:val="0"/>
        <w:adjustRightInd w:val="0"/>
        <w:ind w:left="426" w:hanging="426"/>
        <w:jc w:val="both"/>
      </w:pPr>
      <w:r w:rsidRPr="00D50E91">
        <w:t>4. § (2) bekezdés 152. pontjában a „ , tűzgátló válaszfal” szövegrész,</w:t>
      </w:r>
    </w:p>
    <w:p w:rsidR="00E42596" w:rsidRPr="00D50E91" w:rsidRDefault="00E42596" w:rsidP="00E42596">
      <w:pPr>
        <w:pStyle w:val="Listaszerbekezds"/>
        <w:numPr>
          <w:ilvl w:val="0"/>
          <w:numId w:val="10"/>
        </w:numPr>
        <w:autoSpaceDE w:val="0"/>
        <w:autoSpaceDN w:val="0"/>
        <w:adjustRightInd w:val="0"/>
        <w:ind w:left="426" w:hanging="426"/>
        <w:jc w:val="both"/>
      </w:pPr>
      <w:r w:rsidRPr="00D50E91">
        <w:t>4. § (2) bekezdés 164. pontjában a „megfelelő teherbírású, szilárd burkolatú,” szövegrész,</w:t>
      </w:r>
    </w:p>
    <w:p w:rsidR="00E42596" w:rsidRPr="00D50E91" w:rsidRDefault="00E42596" w:rsidP="00E42596">
      <w:pPr>
        <w:pStyle w:val="Listaszerbekezds"/>
        <w:numPr>
          <w:ilvl w:val="0"/>
          <w:numId w:val="10"/>
        </w:numPr>
        <w:autoSpaceDE w:val="0"/>
        <w:autoSpaceDN w:val="0"/>
        <w:adjustRightInd w:val="0"/>
        <w:ind w:left="426" w:hanging="426"/>
        <w:jc w:val="both"/>
      </w:pPr>
      <w:r w:rsidRPr="00D50E91">
        <w:t>4. § (2) bekezdés 184. pontja,</w:t>
      </w:r>
    </w:p>
    <w:p w:rsidR="00E42596" w:rsidRPr="00D50E91" w:rsidRDefault="00E42596" w:rsidP="00E42596">
      <w:pPr>
        <w:pStyle w:val="Listaszerbekezds"/>
        <w:numPr>
          <w:ilvl w:val="0"/>
          <w:numId w:val="10"/>
        </w:numPr>
        <w:autoSpaceDE w:val="0"/>
        <w:autoSpaceDN w:val="0"/>
        <w:adjustRightInd w:val="0"/>
        <w:ind w:left="426" w:hanging="426"/>
        <w:jc w:val="both"/>
      </w:pPr>
      <w:r w:rsidRPr="00D50E91">
        <w:t>13. § (5) bekezdése,</w:t>
      </w:r>
    </w:p>
    <w:p w:rsidR="00E42596" w:rsidRPr="00D50E91" w:rsidRDefault="00E42596" w:rsidP="00E42596">
      <w:pPr>
        <w:pStyle w:val="Listaszerbekezds"/>
        <w:numPr>
          <w:ilvl w:val="0"/>
          <w:numId w:val="10"/>
        </w:numPr>
        <w:autoSpaceDE w:val="0"/>
        <w:autoSpaceDN w:val="0"/>
        <w:adjustRightInd w:val="0"/>
        <w:ind w:left="426" w:hanging="426"/>
        <w:jc w:val="both"/>
      </w:pPr>
      <w:r w:rsidRPr="00D50E91">
        <w:t>14. §</w:t>
      </w:r>
      <w:r w:rsidR="003528A8">
        <w:t>-</w:t>
      </w:r>
      <w:r w:rsidRPr="00D50E91">
        <w:t>a,</w:t>
      </w:r>
    </w:p>
    <w:p w:rsidR="00E42596" w:rsidRPr="00D50E91" w:rsidRDefault="00E42596" w:rsidP="00E42596">
      <w:pPr>
        <w:pStyle w:val="Listaszerbekezds"/>
        <w:numPr>
          <w:ilvl w:val="0"/>
          <w:numId w:val="10"/>
        </w:numPr>
        <w:autoSpaceDE w:val="0"/>
        <w:autoSpaceDN w:val="0"/>
        <w:adjustRightInd w:val="0"/>
        <w:ind w:left="426" w:hanging="426"/>
        <w:jc w:val="both"/>
      </w:pPr>
      <w:r w:rsidRPr="00D50E91">
        <w:t>17. § (5) bekezdés b) pontjában a „szomszédos telken álló épületek vagy szomszédos telken álló épület és szabadtéri tárolóterület tárolási egysége esetén” szövegrész,</w:t>
      </w:r>
    </w:p>
    <w:p w:rsidR="00E42596" w:rsidRPr="00D50E91" w:rsidRDefault="00E42596" w:rsidP="00E42596">
      <w:pPr>
        <w:pStyle w:val="Listaszerbekezds"/>
        <w:numPr>
          <w:ilvl w:val="0"/>
          <w:numId w:val="10"/>
        </w:numPr>
        <w:autoSpaceDE w:val="0"/>
        <w:autoSpaceDN w:val="0"/>
        <w:adjustRightInd w:val="0"/>
        <w:ind w:left="426" w:hanging="426"/>
        <w:jc w:val="both"/>
      </w:pPr>
      <w:r w:rsidRPr="00D50E91">
        <w:t>22. § (2) bekezdésében az „és egymástól legfeljebb 5 méter távolságra lévő” szövegrész,</w:t>
      </w:r>
    </w:p>
    <w:p w:rsidR="00E42596" w:rsidRPr="00D50E91" w:rsidRDefault="00E42596" w:rsidP="00E42596">
      <w:pPr>
        <w:pStyle w:val="Listaszerbekezds"/>
        <w:numPr>
          <w:ilvl w:val="0"/>
          <w:numId w:val="10"/>
        </w:numPr>
        <w:autoSpaceDE w:val="0"/>
        <w:autoSpaceDN w:val="0"/>
        <w:adjustRightInd w:val="0"/>
        <w:ind w:left="426" w:hanging="426"/>
        <w:jc w:val="both"/>
      </w:pPr>
      <w:r w:rsidRPr="00D50E91">
        <w:t>24. § (1) bekezdés b) pontjában az „átszellőztetett” szövegrész,</w:t>
      </w:r>
    </w:p>
    <w:p w:rsidR="00E42596" w:rsidRPr="00D50E91" w:rsidRDefault="00E42596" w:rsidP="00E42596">
      <w:pPr>
        <w:pStyle w:val="Listaszerbekezds"/>
        <w:numPr>
          <w:ilvl w:val="0"/>
          <w:numId w:val="10"/>
        </w:numPr>
        <w:autoSpaceDE w:val="0"/>
        <w:autoSpaceDN w:val="0"/>
        <w:adjustRightInd w:val="0"/>
        <w:ind w:left="426" w:hanging="426"/>
        <w:jc w:val="both"/>
      </w:pPr>
      <w:r w:rsidRPr="00D50E91">
        <w:t>25. § (6) bekezdése,</w:t>
      </w:r>
    </w:p>
    <w:p w:rsidR="00E42596" w:rsidRPr="00D50E91" w:rsidRDefault="00E42596" w:rsidP="00E42596">
      <w:pPr>
        <w:pStyle w:val="Listaszerbekezds"/>
        <w:numPr>
          <w:ilvl w:val="0"/>
          <w:numId w:val="10"/>
        </w:numPr>
        <w:autoSpaceDE w:val="0"/>
        <w:autoSpaceDN w:val="0"/>
        <w:adjustRightInd w:val="0"/>
        <w:ind w:left="426" w:hanging="426"/>
        <w:jc w:val="both"/>
      </w:pPr>
      <w:r w:rsidRPr="00D50E91">
        <w:t>34. § (4) és (5) bekezdése,</w:t>
      </w:r>
    </w:p>
    <w:p w:rsidR="00E42596" w:rsidRPr="00D50E91" w:rsidRDefault="00E42596" w:rsidP="00E42596">
      <w:pPr>
        <w:pStyle w:val="Listaszerbekezds"/>
        <w:numPr>
          <w:ilvl w:val="0"/>
          <w:numId w:val="10"/>
        </w:numPr>
        <w:autoSpaceDE w:val="0"/>
        <w:autoSpaceDN w:val="0"/>
        <w:adjustRightInd w:val="0"/>
        <w:ind w:left="426" w:hanging="426"/>
        <w:jc w:val="both"/>
      </w:pPr>
      <w:r w:rsidRPr="00D50E91">
        <w:t>35. §</w:t>
      </w:r>
      <w:r w:rsidR="003528A8">
        <w:t>-</w:t>
      </w:r>
      <w:r w:rsidRPr="00D50E91">
        <w:t>a,</w:t>
      </w:r>
    </w:p>
    <w:p w:rsidR="00E42596" w:rsidRPr="00D50E91" w:rsidRDefault="00E42596" w:rsidP="00E42596">
      <w:pPr>
        <w:pStyle w:val="Listaszerbekezds"/>
        <w:numPr>
          <w:ilvl w:val="0"/>
          <w:numId w:val="10"/>
        </w:numPr>
        <w:autoSpaceDE w:val="0"/>
        <w:autoSpaceDN w:val="0"/>
        <w:adjustRightInd w:val="0"/>
        <w:ind w:left="426" w:hanging="426"/>
        <w:jc w:val="both"/>
      </w:pPr>
      <w:r w:rsidRPr="00D50E91">
        <w:t>37. § (3) bekezdésében a „legalább D tűzvédelmi osztályú és” szövegrész,</w:t>
      </w:r>
    </w:p>
    <w:p w:rsidR="00E42596" w:rsidRPr="00D50E91" w:rsidRDefault="00E42596" w:rsidP="00E42596">
      <w:pPr>
        <w:pStyle w:val="Listaszerbekezds"/>
        <w:numPr>
          <w:ilvl w:val="0"/>
          <w:numId w:val="10"/>
        </w:numPr>
        <w:autoSpaceDE w:val="0"/>
        <w:autoSpaceDN w:val="0"/>
        <w:adjustRightInd w:val="0"/>
        <w:ind w:left="426" w:hanging="426"/>
        <w:jc w:val="both"/>
      </w:pPr>
      <w:r w:rsidRPr="00D50E91">
        <w:t>42. § (1) bekezdése,</w:t>
      </w:r>
    </w:p>
    <w:p w:rsidR="00E42596" w:rsidRPr="00D50E91" w:rsidRDefault="00E42596" w:rsidP="00E42596">
      <w:pPr>
        <w:pStyle w:val="Listaszerbekezds"/>
        <w:numPr>
          <w:ilvl w:val="0"/>
          <w:numId w:val="10"/>
        </w:numPr>
        <w:autoSpaceDE w:val="0"/>
        <w:autoSpaceDN w:val="0"/>
        <w:adjustRightInd w:val="0"/>
        <w:ind w:left="426" w:hanging="426"/>
        <w:jc w:val="both"/>
      </w:pPr>
      <w:r w:rsidRPr="00D50E91">
        <w:t>50. § (1) bekezdésében az „alaprendeltetésű” szövegrész,</w:t>
      </w:r>
    </w:p>
    <w:p w:rsidR="00E42596" w:rsidRPr="00D50E91" w:rsidRDefault="00E42596" w:rsidP="00E42596">
      <w:pPr>
        <w:pStyle w:val="Listaszerbekezds"/>
        <w:numPr>
          <w:ilvl w:val="0"/>
          <w:numId w:val="10"/>
        </w:numPr>
        <w:autoSpaceDE w:val="0"/>
        <w:autoSpaceDN w:val="0"/>
        <w:adjustRightInd w:val="0"/>
        <w:ind w:left="426" w:hanging="426"/>
        <w:jc w:val="both"/>
      </w:pPr>
      <w:r w:rsidRPr="00D50E91">
        <w:t>51. § (1) bekezdés a) pont aa) alpontjában a „képező helyiséget” szövegrész,</w:t>
      </w:r>
    </w:p>
    <w:p w:rsidR="00E42596" w:rsidRPr="00D50E91" w:rsidRDefault="00E42596" w:rsidP="00E42596">
      <w:pPr>
        <w:pStyle w:val="Listaszerbekezds"/>
        <w:numPr>
          <w:ilvl w:val="0"/>
          <w:numId w:val="10"/>
        </w:numPr>
        <w:autoSpaceDE w:val="0"/>
        <w:autoSpaceDN w:val="0"/>
        <w:adjustRightInd w:val="0"/>
        <w:ind w:left="426" w:hanging="426"/>
        <w:jc w:val="both"/>
      </w:pPr>
      <w:r w:rsidRPr="00D50E91">
        <w:t>58. § (2) és (3) bekezdése,</w:t>
      </w:r>
    </w:p>
    <w:p w:rsidR="00E42596" w:rsidRPr="00D50E91" w:rsidRDefault="00E42596" w:rsidP="00E42596">
      <w:pPr>
        <w:pStyle w:val="Listaszerbekezds"/>
        <w:numPr>
          <w:ilvl w:val="0"/>
          <w:numId w:val="10"/>
        </w:numPr>
        <w:autoSpaceDE w:val="0"/>
        <w:autoSpaceDN w:val="0"/>
        <w:adjustRightInd w:val="0"/>
        <w:ind w:left="426" w:hanging="426"/>
        <w:jc w:val="both"/>
      </w:pPr>
      <w:r w:rsidRPr="00D50E91">
        <w:lastRenderedPageBreak/>
        <w:t>59. § (7)</w:t>
      </w:r>
      <w:r w:rsidR="003528A8">
        <w:t>-</w:t>
      </w:r>
      <w:r w:rsidRPr="00D50E91">
        <w:t>(9) bekezdése,</w:t>
      </w:r>
    </w:p>
    <w:p w:rsidR="00E42596" w:rsidRPr="00D50E91" w:rsidRDefault="00E42596" w:rsidP="00E42596">
      <w:pPr>
        <w:pStyle w:val="Listaszerbekezds"/>
        <w:numPr>
          <w:ilvl w:val="0"/>
          <w:numId w:val="10"/>
        </w:numPr>
        <w:autoSpaceDE w:val="0"/>
        <w:autoSpaceDN w:val="0"/>
        <w:adjustRightInd w:val="0"/>
        <w:ind w:left="426" w:hanging="426"/>
        <w:jc w:val="both"/>
      </w:pPr>
      <w:r w:rsidRPr="00D50E91">
        <w:t>69</w:t>
      </w:r>
      <w:r w:rsidR="003528A8">
        <w:t>-</w:t>
      </w:r>
      <w:r w:rsidRPr="00D50E91">
        <w:t>70. §</w:t>
      </w:r>
      <w:r w:rsidR="003528A8">
        <w:t>-</w:t>
      </w:r>
      <w:r w:rsidRPr="00D50E91">
        <w:t>a,</w:t>
      </w:r>
    </w:p>
    <w:p w:rsidR="00E42596" w:rsidRPr="00D50E91" w:rsidRDefault="00E42596" w:rsidP="00E42596">
      <w:pPr>
        <w:pStyle w:val="Listaszerbekezds"/>
        <w:numPr>
          <w:ilvl w:val="0"/>
          <w:numId w:val="10"/>
        </w:numPr>
        <w:autoSpaceDE w:val="0"/>
        <w:autoSpaceDN w:val="0"/>
        <w:adjustRightInd w:val="0"/>
        <w:ind w:left="426" w:hanging="426"/>
        <w:jc w:val="both"/>
      </w:pPr>
      <w:r w:rsidRPr="00D50E91">
        <w:t>89. § (3) bekezdésében az „: üzemkész, működik, hiba” szövegrész,</w:t>
      </w:r>
    </w:p>
    <w:p w:rsidR="00E42596" w:rsidRPr="00D50E91" w:rsidRDefault="00E42596" w:rsidP="00E42596">
      <w:pPr>
        <w:pStyle w:val="Listaszerbekezds"/>
        <w:numPr>
          <w:ilvl w:val="0"/>
          <w:numId w:val="10"/>
        </w:numPr>
        <w:autoSpaceDE w:val="0"/>
        <w:autoSpaceDN w:val="0"/>
        <w:adjustRightInd w:val="0"/>
        <w:ind w:left="426" w:hanging="426"/>
        <w:jc w:val="both"/>
      </w:pPr>
      <w:r w:rsidRPr="00D50E91">
        <w:t>89. § (6) bekezdése,</w:t>
      </w:r>
    </w:p>
    <w:p w:rsidR="00E42596" w:rsidRPr="00D50E91" w:rsidRDefault="00E42596" w:rsidP="00E42596">
      <w:pPr>
        <w:pStyle w:val="Listaszerbekezds"/>
        <w:numPr>
          <w:ilvl w:val="0"/>
          <w:numId w:val="10"/>
        </w:numPr>
        <w:autoSpaceDE w:val="0"/>
        <w:autoSpaceDN w:val="0"/>
        <w:adjustRightInd w:val="0"/>
        <w:ind w:left="426" w:hanging="426"/>
        <w:jc w:val="both"/>
      </w:pPr>
      <w:r w:rsidRPr="00D50E91">
        <w:t>90. § (6) bekezdésében az „a 98. § (8) bekezdésében foglaltak szerint” szövegrész,</w:t>
      </w:r>
    </w:p>
    <w:p w:rsidR="00E42596" w:rsidRPr="00D50E91" w:rsidRDefault="00E42596" w:rsidP="00E42596">
      <w:pPr>
        <w:pStyle w:val="Listaszerbekezds"/>
        <w:numPr>
          <w:ilvl w:val="0"/>
          <w:numId w:val="10"/>
        </w:numPr>
        <w:autoSpaceDE w:val="0"/>
        <w:autoSpaceDN w:val="0"/>
        <w:adjustRightInd w:val="0"/>
        <w:ind w:left="426" w:hanging="426"/>
        <w:jc w:val="both"/>
      </w:pPr>
      <w:r w:rsidRPr="00D50E91">
        <w:t>92. § (5) bekezdése.</w:t>
      </w:r>
    </w:p>
    <w:p w:rsidR="00E42596" w:rsidRPr="00D50E91" w:rsidRDefault="00E42596" w:rsidP="00E42596">
      <w:pPr>
        <w:autoSpaceDE w:val="0"/>
        <w:autoSpaceDN w:val="0"/>
        <w:adjustRightInd w:val="0"/>
        <w:jc w:val="both"/>
      </w:pPr>
    </w:p>
    <w:p w:rsidR="00E42596" w:rsidRPr="00D50E91" w:rsidRDefault="00E42596" w:rsidP="00E42596">
      <w:pPr>
        <w:autoSpaceDE w:val="0"/>
        <w:autoSpaceDN w:val="0"/>
        <w:adjustRightInd w:val="0"/>
        <w:jc w:val="both"/>
      </w:pPr>
      <w:r w:rsidRPr="00D50E91">
        <w:t>(2) Hatályát veszti az R.</w:t>
      </w:r>
    </w:p>
    <w:p w:rsidR="00E42596" w:rsidRPr="00D50E91" w:rsidRDefault="00E42596" w:rsidP="00E42596">
      <w:pPr>
        <w:pStyle w:val="Listaszerbekezds"/>
        <w:numPr>
          <w:ilvl w:val="0"/>
          <w:numId w:val="11"/>
        </w:numPr>
        <w:autoSpaceDE w:val="0"/>
        <w:autoSpaceDN w:val="0"/>
        <w:adjustRightInd w:val="0"/>
        <w:ind w:left="426" w:hanging="426"/>
        <w:jc w:val="both"/>
      </w:pPr>
      <w:r w:rsidRPr="00D50E91">
        <w:t>93. § (3) és (5) bekezdése,</w:t>
      </w:r>
    </w:p>
    <w:p w:rsidR="00E42596" w:rsidRPr="00D50E91" w:rsidRDefault="00E42596" w:rsidP="00E42596">
      <w:pPr>
        <w:pStyle w:val="Listaszerbekezds"/>
        <w:numPr>
          <w:ilvl w:val="0"/>
          <w:numId w:val="11"/>
        </w:numPr>
        <w:autoSpaceDE w:val="0"/>
        <w:autoSpaceDN w:val="0"/>
        <w:adjustRightInd w:val="0"/>
        <w:ind w:left="426" w:hanging="426"/>
        <w:jc w:val="both"/>
      </w:pPr>
      <w:r w:rsidRPr="00D50E91">
        <w:t>94. § (1) és (3) bekezdése,</w:t>
      </w:r>
    </w:p>
    <w:p w:rsidR="00E42596" w:rsidRPr="00D50E91" w:rsidRDefault="00E42596" w:rsidP="00E42596">
      <w:pPr>
        <w:pStyle w:val="Listaszerbekezds"/>
        <w:numPr>
          <w:ilvl w:val="0"/>
          <w:numId w:val="11"/>
        </w:numPr>
        <w:autoSpaceDE w:val="0"/>
        <w:autoSpaceDN w:val="0"/>
        <w:adjustRightInd w:val="0"/>
        <w:ind w:left="426" w:hanging="426"/>
        <w:jc w:val="both"/>
      </w:pPr>
      <w:r w:rsidRPr="00D50E91">
        <w:t>96. § (4) bekezdésében az „ , a padlósíktól mért felső harmadában” szövegrész,</w:t>
      </w:r>
    </w:p>
    <w:p w:rsidR="00E42596" w:rsidRPr="00D50E91" w:rsidRDefault="00E42596" w:rsidP="00E42596">
      <w:pPr>
        <w:pStyle w:val="Listaszerbekezds"/>
        <w:numPr>
          <w:ilvl w:val="0"/>
          <w:numId w:val="11"/>
        </w:numPr>
        <w:autoSpaceDE w:val="0"/>
        <w:autoSpaceDN w:val="0"/>
        <w:adjustRightInd w:val="0"/>
        <w:ind w:left="426" w:hanging="426"/>
        <w:jc w:val="both"/>
      </w:pPr>
      <w:r w:rsidRPr="00D50E91">
        <w:t xml:space="preserve">96. § (5) és (6) bekezdése, </w:t>
      </w:r>
    </w:p>
    <w:p w:rsidR="00E42596" w:rsidRPr="00D50E91" w:rsidRDefault="00E42596" w:rsidP="00E42596">
      <w:pPr>
        <w:pStyle w:val="Listaszerbekezds"/>
        <w:numPr>
          <w:ilvl w:val="0"/>
          <w:numId w:val="11"/>
        </w:numPr>
        <w:autoSpaceDE w:val="0"/>
        <w:autoSpaceDN w:val="0"/>
        <w:adjustRightInd w:val="0"/>
        <w:ind w:left="426" w:hanging="426"/>
        <w:jc w:val="both"/>
      </w:pPr>
      <w:r w:rsidRPr="00D50E91">
        <w:t>98. § (4) bekezdése, és (6)</w:t>
      </w:r>
      <w:r w:rsidR="003528A8">
        <w:t>-</w:t>
      </w:r>
      <w:r w:rsidRPr="00D50E91">
        <w:t>(8) bekezdése</w:t>
      </w:r>
    </w:p>
    <w:p w:rsidR="00E42596" w:rsidRPr="00D50E91" w:rsidRDefault="00E42596" w:rsidP="00E42596">
      <w:pPr>
        <w:pStyle w:val="Listaszerbekezds"/>
        <w:numPr>
          <w:ilvl w:val="0"/>
          <w:numId w:val="11"/>
        </w:numPr>
        <w:autoSpaceDE w:val="0"/>
        <w:autoSpaceDN w:val="0"/>
        <w:adjustRightInd w:val="0"/>
        <w:ind w:left="426" w:hanging="426"/>
        <w:jc w:val="both"/>
      </w:pPr>
      <w:r w:rsidRPr="00D50E91">
        <w:t>100. §</w:t>
      </w:r>
      <w:r w:rsidR="003528A8">
        <w:t>-</w:t>
      </w:r>
      <w:r w:rsidRPr="00D50E91">
        <w:t>a,</w:t>
      </w:r>
    </w:p>
    <w:p w:rsidR="00E42596" w:rsidRPr="00D50E91" w:rsidRDefault="00E42596" w:rsidP="00E42596">
      <w:pPr>
        <w:pStyle w:val="Listaszerbekezds"/>
        <w:numPr>
          <w:ilvl w:val="0"/>
          <w:numId w:val="11"/>
        </w:numPr>
        <w:autoSpaceDE w:val="0"/>
        <w:autoSpaceDN w:val="0"/>
        <w:adjustRightInd w:val="0"/>
        <w:ind w:left="426" w:hanging="426"/>
        <w:jc w:val="both"/>
      </w:pPr>
      <w:r w:rsidRPr="00D50E91">
        <w:t>59. alcíme és az azt követő 101. § és 102. §</w:t>
      </w:r>
      <w:r w:rsidR="003528A8">
        <w:t>-</w:t>
      </w:r>
      <w:r w:rsidRPr="00D50E91">
        <w:t>a,</w:t>
      </w:r>
    </w:p>
    <w:p w:rsidR="00E42596" w:rsidRPr="00D50E91" w:rsidRDefault="00E42596" w:rsidP="00E42596">
      <w:pPr>
        <w:pStyle w:val="Listaszerbekezds"/>
        <w:numPr>
          <w:ilvl w:val="0"/>
          <w:numId w:val="11"/>
        </w:numPr>
        <w:autoSpaceDE w:val="0"/>
        <w:autoSpaceDN w:val="0"/>
        <w:adjustRightInd w:val="0"/>
        <w:ind w:left="426" w:hanging="426"/>
        <w:jc w:val="both"/>
      </w:pPr>
      <w:r w:rsidRPr="00D50E91">
        <w:t>60. alcíme és az azt követő 103. §</w:t>
      </w:r>
      <w:r w:rsidR="003528A8">
        <w:t>-</w:t>
      </w:r>
      <w:r w:rsidRPr="00D50E91">
        <w:t>a,</w:t>
      </w:r>
    </w:p>
    <w:p w:rsidR="00E42596" w:rsidRPr="00D50E91" w:rsidRDefault="00E42596" w:rsidP="00E42596">
      <w:pPr>
        <w:pStyle w:val="Listaszerbekezds"/>
        <w:numPr>
          <w:ilvl w:val="0"/>
          <w:numId w:val="11"/>
        </w:numPr>
        <w:autoSpaceDE w:val="0"/>
        <w:autoSpaceDN w:val="0"/>
        <w:adjustRightInd w:val="0"/>
        <w:ind w:left="426" w:hanging="426"/>
        <w:jc w:val="both"/>
      </w:pPr>
      <w:r w:rsidRPr="00D50E91">
        <w:t>61. alcíme és az azt követő 104. §</w:t>
      </w:r>
      <w:r w:rsidR="003528A8">
        <w:t>-</w:t>
      </w:r>
      <w:r w:rsidRPr="00D50E91">
        <w:t>a,</w:t>
      </w:r>
    </w:p>
    <w:p w:rsidR="00E42596" w:rsidRPr="00D50E91" w:rsidRDefault="00E42596" w:rsidP="00E42596">
      <w:pPr>
        <w:pStyle w:val="Listaszerbekezds"/>
        <w:numPr>
          <w:ilvl w:val="0"/>
          <w:numId w:val="11"/>
        </w:numPr>
        <w:autoSpaceDE w:val="0"/>
        <w:autoSpaceDN w:val="0"/>
        <w:adjustRightInd w:val="0"/>
        <w:ind w:left="426" w:hanging="426"/>
        <w:jc w:val="both"/>
      </w:pPr>
      <w:r w:rsidRPr="00D50E91">
        <w:t>62. alcíme és az azt követő 105. §</w:t>
      </w:r>
      <w:r w:rsidR="003528A8">
        <w:t>-</w:t>
      </w:r>
      <w:r w:rsidRPr="00D50E91">
        <w:t>a,</w:t>
      </w:r>
    </w:p>
    <w:p w:rsidR="00E42596" w:rsidRPr="00D50E91" w:rsidRDefault="00E42596" w:rsidP="00E42596">
      <w:pPr>
        <w:pStyle w:val="Listaszerbekezds"/>
        <w:numPr>
          <w:ilvl w:val="0"/>
          <w:numId w:val="11"/>
        </w:numPr>
        <w:autoSpaceDE w:val="0"/>
        <w:autoSpaceDN w:val="0"/>
        <w:adjustRightInd w:val="0"/>
        <w:ind w:left="426" w:hanging="426"/>
        <w:jc w:val="both"/>
      </w:pPr>
      <w:r w:rsidRPr="00D50E91">
        <w:t>63. § alcíme és az azt követő 106. § és 107. §</w:t>
      </w:r>
      <w:r w:rsidR="003528A8">
        <w:t>-</w:t>
      </w:r>
      <w:r w:rsidRPr="00D50E91">
        <w:t>a,</w:t>
      </w:r>
    </w:p>
    <w:p w:rsidR="00E42596" w:rsidRPr="00D50E91" w:rsidRDefault="00E42596" w:rsidP="00E42596">
      <w:pPr>
        <w:pStyle w:val="Listaszerbekezds"/>
        <w:numPr>
          <w:ilvl w:val="0"/>
          <w:numId w:val="11"/>
        </w:numPr>
        <w:autoSpaceDE w:val="0"/>
        <w:autoSpaceDN w:val="0"/>
        <w:adjustRightInd w:val="0"/>
        <w:ind w:left="426" w:hanging="426"/>
        <w:jc w:val="both"/>
      </w:pPr>
      <w:r w:rsidRPr="00D50E91">
        <w:t>64. alcíme és az azt követő 108. §</w:t>
      </w:r>
      <w:r w:rsidR="003528A8">
        <w:t>-</w:t>
      </w:r>
      <w:r w:rsidRPr="00D50E91">
        <w:t>a,</w:t>
      </w:r>
    </w:p>
    <w:p w:rsidR="00E42596" w:rsidRPr="00D50E91" w:rsidRDefault="00E42596" w:rsidP="00E42596">
      <w:pPr>
        <w:pStyle w:val="Listaszerbekezds"/>
        <w:numPr>
          <w:ilvl w:val="0"/>
          <w:numId w:val="11"/>
        </w:numPr>
        <w:autoSpaceDE w:val="0"/>
        <w:autoSpaceDN w:val="0"/>
        <w:adjustRightInd w:val="0"/>
        <w:ind w:left="426" w:hanging="426"/>
        <w:jc w:val="both"/>
      </w:pPr>
      <w:r w:rsidRPr="00D50E91">
        <w:t>118. § (4) bekezdésében az „Az ajtók tűzvédelmi osztálya legalább A2 legyen.” szövegrész,</w:t>
      </w:r>
    </w:p>
    <w:p w:rsidR="00E42596" w:rsidRPr="00D50E91" w:rsidRDefault="00E42596" w:rsidP="00E42596">
      <w:pPr>
        <w:pStyle w:val="Listaszerbekezds"/>
        <w:numPr>
          <w:ilvl w:val="0"/>
          <w:numId w:val="11"/>
        </w:numPr>
        <w:autoSpaceDE w:val="0"/>
        <w:autoSpaceDN w:val="0"/>
        <w:adjustRightInd w:val="0"/>
        <w:ind w:left="426" w:hanging="426"/>
        <w:jc w:val="both"/>
      </w:pPr>
      <w:r w:rsidRPr="00D50E91">
        <w:t xml:space="preserve">125. § (3) bekezdésében a „ , valamint naplemente után is üzemelő, szabadon álló KK és MK osztályba tartozó kilátó” szövegrész, </w:t>
      </w:r>
    </w:p>
    <w:p w:rsidR="00E42596" w:rsidRPr="00D50E91" w:rsidRDefault="00E42596" w:rsidP="00E42596">
      <w:pPr>
        <w:pStyle w:val="Listaszerbekezds"/>
        <w:numPr>
          <w:ilvl w:val="0"/>
          <w:numId w:val="11"/>
        </w:numPr>
        <w:autoSpaceDE w:val="0"/>
        <w:autoSpaceDN w:val="0"/>
        <w:adjustRightInd w:val="0"/>
        <w:ind w:left="426" w:hanging="426"/>
        <w:jc w:val="both"/>
      </w:pPr>
      <w:r w:rsidRPr="00D50E91">
        <w:t>135. § (1) bekezdésében az „Az építményrészek külön lekapcsolásának szükségességét és kialakítását a tűzvédelmi szakhatósággal kell egyeztetni.” szövegrész,</w:t>
      </w:r>
    </w:p>
    <w:p w:rsidR="00E42596" w:rsidRPr="00D50E91" w:rsidRDefault="00E42596" w:rsidP="00E42596">
      <w:pPr>
        <w:pStyle w:val="Listaszerbekezds"/>
        <w:numPr>
          <w:ilvl w:val="0"/>
          <w:numId w:val="11"/>
        </w:numPr>
        <w:autoSpaceDE w:val="0"/>
        <w:autoSpaceDN w:val="0"/>
        <w:adjustRightInd w:val="0"/>
        <w:ind w:left="426" w:hanging="426"/>
        <w:jc w:val="both"/>
      </w:pPr>
      <w:r w:rsidRPr="00D50E91">
        <w:t>146. § (3) bekezdése,</w:t>
      </w:r>
    </w:p>
    <w:p w:rsidR="00E42596" w:rsidRPr="00D50E91" w:rsidRDefault="00E42596" w:rsidP="00E42596">
      <w:pPr>
        <w:pStyle w:val="Listaszerbekezds"/>
        <w:numPr>
          <w:ilvl w:val="0"/>
          <w:numId w:val="11"/>
        </w:numPr>
        <w:autoSpaceDE w:val="0"/>
        <w:autoSpaceDN w:val="0"/>
        <w:adjustRightInd w:val="0"/>
        <w:ind w:left="426" w:hanging="426"/>
        <w:jc w:val="both"/>
      </w:pPr>
      <w:r w:rsidRPr="00D50E91">
        <w:t>148. § (1) bekezdésében a „bármely tartózkodási helyről nem látható” szövegrész,</w:t>
      </w:r>
    </w:p>
    <w:p w:rsidR="00E42596" w:rsidRPr="00D50E91" w:rsidRDefault="00E42596" w:rsidP="00E42596">
      <w:pPr>
        <w:pStyle w:val="Listaszerbekezds"/>
        <w:numPr>
          <w:ilvl w:val="0"/>
          <w:numId w:val="11"/>
        </w:numPr>
        <w:autoSpaceDE w:val="0"/>
        <w:autoSpaceDN w:val="0"/>
        <w:adjustRightInd w:val="0"/>
        <w:ind w:left="426" w:hanging="426"/>
        <w:jc w:val="both"/>
      </w:pPr>
      <w:r w:rsidRPr="00D50E91">
        <w:t>148. § (1) bekezdés d) pontjában az „és” szövegrész,</w:t>
      </w:r>
    </w:p>
    <w:p w:rsidR="00E42596" w:rsidRPr="00D50E91" w:rsidRDefault="00E42596" w:rsidP="00E42596">
      <w:pPr>
        <w:pStyle w:val="Listaszerbekezds"/>
        <w:numPr>
          <w:ilvl w:val="0"/>
          <w:numId w:val="11"/>
        </w:numPr>
        <w:autoSpaceDE w:val="0"/>
        <w:autoSpaceDN w:val="0"/>
        <w:adjustRightInd w:val="0"/>
        <w:ind w:left="426" w:hanging="426"/>
        <w:jc w:val="both"/>
      </w:pPr>
      <w:r w:rsidRPr="00D50E91">
        <w:t>149. §</w:t>
      </w:r>
      <w:r w:rsidR="003528A8">
        <w:t>-</w:t>
      </w:r>
      <w:r w:rsidRPr="00D50E91">
        <w:t>ában a „ , a 13. melléklet 1. ábrája alapján” szövegrész,</w:t>
      </w:r>
    </w:p>
    <w:p w:rsidR="00E42596" w:rsidRPr="00D50E91" w:rsidRDefault="00E42596" w:rsidP="00E42596">
      <w:pPr>
        <w:pStyle w:val="Listaszerbekezds"/>
        <w:numPr>
          <w:ilvl w:val="0"/>
          <w:numId w:val="11"/>
        </w:numPr>
        <w:autoSpaceDE w:val="0"/>
        <w:autoSpaceDN w:val="0"/>
        <w:adjustRightInd w:val="0"/>
        <w:ind w:left="426" w:hanging="426"/>
        <w:jc w:val="both"/>
      </w:pPr>
      <w:r w:rsidRPr="00D50E91">
        <w:t>152. § (1) bekezdésében az „a 13. melléklet 2. és 3. ábrája szerint” szövegrész,</w:t>
      </w:r>
    </w:p>
    <w:p w:rsidR="00E42596" w:rsidRPr="00D50E91" w:rsidRDefault="00E42596" w:rsidP="00E42596">
      <w:pPr>
        <w:pStyle w:val="Listaszerbekezds"/>
        <w:numPr>
          <w:ilvl w:val="0"/>
          <w:numId w:val="11"/>
        </w:numPr>
        <w:autoSpaceDE w:val="0"/>
        <w:autoSpaceDN w:val="0"/>
        <w:adjustRightInd w:val="0"/>
        <w:ind w:left="426" w:hanging="426"/>
        <w:jc w:val="both"/>
      </w:pPr>
      <w:r w:rsidRPr="00D50E91">
        <w:t>153. § (2) és (3) bekezdése,</w:t>
      </w:r>
    </w:p>
    <w:p w:rsidR="00E42596" w:rsidRPr="00D50E91" w:rsidRDefault="00E42596" w:rsidP="00E42596">
      <w:pPr>
        <w:pStyle w:val="Listaszerbekezds"/>
        <w:numPr>
          <w:ilvl w:val="0"/>
          <w:numId w:val="11"/>
        </w:numPr>
        <w:autoSpaceDE w:val="0"/>
        <w:autoSpaceDN w:val="0"/>
        <w:adjustRightInd w:val="0"/>
        <w:ind w:left="426" w:hanging="426"/>
        <w:jc w:val="both"/>
      </w:pPr>
      <w:r w:rsidRPr="00D50E91">
        <w:t>154. § (2) bekezdése,</w:t>
      </w:r>
    </w:p>
    <w:p w:rsidR="00E42596" w:rsidRPr="00D50E91" w:rsidRDefault="00E42596" w:rsidP="00E42596">
      <w:pPr>
        <w:pStyle w:val="Listaszerbekezds"/>
        <w:numPr>
          <w:ilvl w:val="0"/>
          <w:numId w:val="11"/>
        </w:numPr>
        <w:autoSpaceDE w:val="0"/>
        <w:autoSpaceDN w:val="0"/>
        <w:adjustRightInd w:val="0"/>
        <w:ind w:left="426" w:hanging="426"/>
        <w:jc w:val="both"/>
      </w:pPr>
      <w:r w:rsidRPr="00D50E91">
        <w:t>159. §</w:t>
      </w:r>
      <w:r w:rsidR="003528A8">
        <w:t>-</w:t>
      </w:r>
      <w:r w:rsidRPr="00D50E91">
        <w:t>a,</w:t>
      </w:r>
    </w:p>
    <w:p w:rsidR="00E42596" w:rsidRPr="00D50E91" w:rsidRDefault="00E42596" w:rsidP="00E42596">
      <w:pPr>
        <w:pStyle w:val="Listaszerbekezds"/>
        <w:numPr>
          <w:ilvl w:val="0"/>
          <w:numId w:val="11"/>
        </w:numPr>
        <w:autoSpaceDE w:val="0"/>
        <w:autoSpaceDN w:val="0"/>
        <w:adjustRightInd w:val="0"/>
        <w:ind w:left="426" w:hanging="426"/>
        <w:jc w:val="both"/>
      </w:pPr>
      <w:r w:rsidRPr="00D50E91">
        <w:t>179. § (3), (4), (6) és (9) bekezdése,</w:t>
      </w:r>
    </w:p>
    <w:p w:rsidR="00E42596" w:rsidRPr="00D50E91" w:rsidRDefault="00E42596" w:rsidP="00E42596">
      <w:pPr>
        <w:pStyle w:val="Listaszerbekezds"/>
        <w:numPr>
          <w:ilvl w:val="0"/>
          <w:numId w:val="11"/>
        </w:numPr>
        <w:autoSpaceDE w:val="0"/>
        <w:autoSpaceDN w:val="0"/>
        <w:adjustRightInd w:val="0"/>
        <w:ind w:left="426" w:hanging="426"/>
        <w:jc w:val="both"/>
      </w:pPr>
      <w:r w:rsidRPr="00D50E91">
        <w:t>189. § (4) bekezdése,</w:t>
      </w:r>
    </w:p>
    <w:p w:rsidR="00E42596" w:rsidRPr="00D50E91" w:rsidRDefault="00E42596" w:rsidP="00E42596">
      <w:pPr>
        <w:pStyle w:val="Listaszerbekezds"/>
        <w:numPr>
          <w:ilvl w:val="0"/>
          <w:numId w:val="11"/>
        </w:numPr>
        <w:autoSpaceDE w:val="0"/>
        <w:autoSpaceDN w:val="0"/>
        <w:adjustRightInd w:val="0"/>
        <w:ind w:left="426" w:hanging="426"/>
        <w:jc w:val="both"/>
      </w:pPr>
      <w:r w:rsidRPr="00D50E91">
        <w:t>191. § (1) bekezdésében a „ , I</w:t>
      </w:r>
      <w:r w:rsidR="003528A8">
        <w:t>-</w:t>
      </w:r>
      <w:r w:rsidRPr="00D50E91">
        <w:t>II. tűzveszélyességi fokozatú folyadékot” szövegrész.</w:t>
      </w:r>
    </w:p>
    <w:p w:rsidR="00E42596" w:rsidRPr="00D50E91" w:rsidRDefault="00E42596" w:rsidP="00E42596">
      <w:pPr>
        <w:autoSpaceDE w:val="0"/>
        <w:autoSpaceDN w:val="0"/>
        <w:adjustRightInd w:val="0"/>
        <w:jc w:val="both"/>
      </w:pPr>
    </w:p>
    <w:p w:rsidR="00E42596" w:rsidRPr="00D50E91" w:rsidRDefault="00E42596" w:rsidP="00E42596">
      <w:pPr>
        <w:autoSpaceDE w:val="0"/>
        <w:autoSpaceDN w:val="0"/>
        <w:adjustRightInd w:val="0"/>
        <w:jc w:val="both"/>
      </w:pPr>
      <w:r w:rsidRPr="00D50E91">
        <w:t>(3) Hatályát veszti az R.</w:t>
      </w:r>
    </w:p>
    <w:p w:rsidR="00E42596" w:rsidRPr="00D50E91" w:rsidRDefault="00E42596" w:rsidP="00E42596">
      <w:pPr>
        <w:pStyle w:val="Listaszerbekezds"/>
        <w:numPr>
          <w:ilvl w:val="0"/>
          <w:numId w:val="12"/>
        </w:numPr>
        <w:autoSpaceDE w:val="0"/>
        <w:autoSpaceDN w:val="0"/>
        <w:adjustRightInd w:val="0"/>
        <w:ind w:left="426" w:hanging="426"/>
        <w:jc w:val="both"/>
      </w:pPr>
      <w:r w:rsidRPr="00D50E91">
        <w:t>191. § (3) bekezdésében a „ , valamint az I</w:t>
      </w:r>
      <w:r w:rsidR="003528A8">
        <w:t>-</w:t>
      </w:r>
      <w:r w:rsidRPr="00D50E91">
        <w:t>III. tűzveszélyességi fokozatú folyadék” szövegrész,</w:t>
      </w:r>
    </w:p>
    <w:p w:rsidR="00E42596" w:rsidRPr="00D50E91" w:rsidRDefault="00E42596" w:rsidP="00E42596">
      <w:pPr>
        <w:pStyle w:val="Listaszerbekezds"/>
        <w:numPr>
          <w:ilvl w:val="0"/>
          <w:numId w:val="12"/>
        </w:numPr>
        <w:autoSpaceDE w:val="0"/>
        <w:autoSpaceDN w:val="0"/>
        <w:adjustRightInd w:val="0"/>
        <w:ind w:left="426" w:hanging="426"/>
        <w:jc w:val="both"/>
      </w:pPr>
      <w:r w:rsidRPr="00D50E91">
        <w:t>191. § (5) bekezdésében az „és I</w:t>
      </w:r>
      <w:r w:rsidR="003528A8">
        <w:t>-</w:t>
      </w:r>
      <w:r w:rsidRPr="00D50E91">
        <w:t>III. tűzveszélyességi fokozatú folyadék és gáz” szövegrész,</w:t>
      </w:r>
    </w:p>
    <w:p w:rsidR="00E42596" w:rsidRPr="00D50E91" w:rsidRDefault="00E42596" w:rsidP="00E42596">
      <w:pPr>
        <w:pStyle w:val="Listaszerbekezds"/>
        <w:numPr>
          <w:ilvl w:val="0"/>
          <w:numId w:val="12"/>
        </w:numPr>
        <w:autoSpaceDE w:val="0"/>
        <w:autoSpaceDN w:val="0"/>
        <w:adjustRightInd w:val="0"/>
        <w:ind w:left="426" w:hanging="426"/>
        <w:jc w:val="both"/>
      </w:pPr>
      <w:r w:rsidRPr="00D50E91">
        <w:t>194. § (2) és (5) bekezdése,</w:t>
      </w:r>
    </w:p>
    <w:p w:rsidR="00E42596" w:rsidRPr="00D50E91" w:rsidRDefault="00E42596" w:rsidP="00E42596">
      <w:pPr>
        <w:pStyle w:val="Listaszerbekezds"/>
        <w:numPr>
          <w:ilvl w:val="0"/>
          <w:numId w:val="12"/>
        </w:numPr>
        <w:autoSpaceDE w:val="0"/>
        <w:autoSpaceDN w:val="0"/>
        <w:adjustRightInd w:val="0"/>
        <w:ind w:left="426" w:hanging="426"/>
        <w:jc w:val="both"/>
      </w:pPr>
      <w:r w:rsidRPr="00D50E91">
        <w:t>229. § (1) bekezdésében a „szalma</w:t>
      </w:r>
      <w:r w:rsidR="003528A8">
        <w:t>-</w:t>
      </w:r>
      <w:r w:rsidRPr="00D50E91">
        <w:t>összehúzási és” szövegrész.</w:t>
      </w:r>
    </w:p>
    <w:p w:rsidR="00E42596" w:rsidRPr="00D50E91" w:rsidRDefault="00E42596" w:rsidP="00E42596">
      <w:pPr>
        <w:pStyle w:val="Listaszerbekezds"/>
        <w:numPr>
          <w:ilvl w:val="0"/>
          <w:numId w:val="12"/>
        </w:numPr>
        <w:autoSpaceDE w:val="0"/>
        <w:autoSpaceDN w:val="0"/>
        <w:adjustRightInd w:val="0"/>
        <w:ind w:left="426" w:hanging="426"/>
        <w:jc w:val="both"/>
      </w:pPr>
      <w:r w:rsidRPr="00D50E91">
        <w:t>229. § (6) bekezdésében a „nehezen éghető, „ szövegrész,</w:t>
      </w:r>
    </w:p>
    <w:p w:rsidR="00E42596" w:rsidRPr="00D50E91" w:rsidRDefault="00E42596" w:rsidP="00E42596">
      <w:pPr>
        <w:pStyle w:val="Listaszerbekezds"/>
        <w:numPr>
          <w:ilvl w:val="0"/>
          <w:numId w:val="12"/>
        </w:numPr>
        <w:autoSpaceDE w:val="0"/>
        <w:autoSpaceDN w:val="0"/>
        <w:adjustRightInd w:val="0"/>
        <w:ind w:left="426" w:hanging="426"/>
        <w:jc w:val="both"/>
      </w:pPr>
      <w:r w:rsidRPr="00D50E91">
        <w:t>230. § (1) bekezdésében a „szalmaösszehúzást és a” szövegrész,</w:t>
      </w:r>
    </w:p>
    <w:p w:rsidR="00E42596" w:rsidRPr="00D50E91" w:rsidRDefault="00E42596" w:rsidP="00E42596">
      <w:pPr>
        <w:pStyle w:val="Listaszerbekezds"/>
        <w:numPr>
          <w:ilvl w:val="0"/>
          <w:numId w:val="12"/>
        </w:numPr>
        <w:autoSpaceDE w:val="0"/>
        <w:autoSpaceDN w:val="0"/>
        <w:adjustRightInd w:val="0"/>
        <w:ind w:left="426" w:hanging="426"/>
        <w:jc w:val="both"/>
      </w:pPr>
      <w:r w:rsidRPr="00D50E91">
        <w:t>230. § (2) bekezdésében a „szalmaösszehúzásban és a” szövegrész,</w:t>
      </w:r>
    </w:p>
    <w:p w:rsidR="00E42596" w:rsidRPr="00D50E91" w:rsidRDefault="00E42596" w:rsidP="00E42596">
      <w:pPr>
        <w:pStyle w:val="Listaszerbekezds"/>
        <w:numPr>
          <w:ilvl w:val="0"/>
          <w:numId w:val="12"/>
        </w:numPr>
        <w:autoSpaceDE w:val="0"/>
        <w:autoSpaceDN w:val="0"/>
        <w:adjustRightInd w:val="0"/>
        <w:ind w:left="426" w:hanging="426"/>
        <w:jc w:val="both"/>
      </w:pPr>
      <w:r w:rsidRPr="00D50E91">
        <w:t>230. § (3) bekezdése,</w:t>
      </w:r>
    </w:p>
    <w:p w:rsidR="00E42596" w:rsidRPr="00D50E91" w:rsidRDefault="00E42596" w:rsidP="00E42596">
      <w:pPr>
        <w:pStyle w:val="Listaszerbekezds"/>
        <w:numPr>
          <w:ilvl w:val="0"/>
          <w:numId w:val="12"/>
        </w:numPr>
        <w:autoSpaceDE w:val="0"/>
        <w:autoSpaceDN w:val="0"/>
        <w:adjustRightInd w:val="0"/>
        <w:ind w:left="426" w:hanging="426"/>
        <w:jc w:val="both"/>
      </w:pPr>
      <w:r w:rsidRPr="00D50E91">
        <w:t>232. § (1) bekezdésében az „I</w:t>
      </w:r>
      <w:r w:rsidR="003528A8">
        <w:t>-</w:t>
      </w:r>
      <w:r w:rsidRPr="00D50E91">
        <w:t>II. tűzveszélyességi fokozatú” szövegrész,</w:t>
      </w:r>
    </w:p>
    <w:p w:rsidR="00E42596" w:rsidRPr="00D50E91" w:rsidRDefault="00E42596" w:rsidP="00E42596">
      <w:pPr>
        <w:pStyle w:val="Listaszerbekezds"/>
        <w:numPr>
          <w:ilvl w:val="0"/>
          <w:numId w:val="12"/>
        </w:numPr>
        <w:autoSpaceDE w:val="0"/>
        <w:autoSpaceDN w:val="0"/>
        <w:adjustRightInd w:val="0"/>
        <w:ind w:left="426" w:hanging="426"/>
        <w:jc w:val="both"/>
      </w:pPr>
      <w:r w:rsidRPr="00D50E91">
        <w:t>232. § (5) bekezdése,</w:t>
      </w:r>
    </w:p>
    <w:p w:rsidR="00E42596" w:rsidRPr="00D50E91" w:rsidRDefault="00E42596" w:rsidP="00E42596">
      <w:pPr>
        <w:pStyle w:val="Listaszerbekezds"/>
        <w:numPr>
          <w:ilvl w:val="0"/>
          <w:numId w:val="12"/>
        </w:numPr>
        <w:autoSpaceDE w:val="0"/>
        <w:autoSpaceDN w:val="0"/>
        <w:adjustRightInd w:val="0"/>
        <w:ind w:left="426" w:hanging="426"/>
        <w:jc w:val="both"/>
      </w:pPr>
      <w:r w:rsidRPr="00D50E91">
        <w:t>233. § (1) és (2) bekezdésében, 234. § (1) és (3) bekezdésében, 235. § (1) bekezdésében a „robbanásveszélyes osztályú” szövegrész,</w:t>
      </w:r>
    </w:p>
    <w:p w:rsidR="00E42596" w:rsidRPr="00D50E91" w:rsidRDefault="00E42596" w:rsidP="00E42596">
      <w:pPr>
        <w:pStyle w:val="Listaszerbekezds"/>
        <w:numPr>
          <w:ilvl w:val="0"/>
          <w:numId w:val="12"/>
        </w:numPr>
        <w:autoSpaceDE w:val="0"/>
        <w:autoSpaceDN w:val="0"/>
        <w:adjustRightInd w:val="0"/>
        <w:ind w:left="426" w:hanging="426"/>
        <w:jc w:val="both"/>
      </w:pPr>
      <w:r w:rsidRPr="00D50E91">
        <w:lastRenderedPageBreak/>
        <w:t>234. § (2) bekezdése,</w:t>
      </w:r>
    </w:p>
    <w:p w:rsidR="00E42596" w:rsidRPr="00D50E91" w:rsidRDefault="00E42596" w:rsidP="00E42596">
      <w:pPr>
        <w:pStyle w:val="Listaszerbekezds"/>
        <w:numPr>
          <w:ilvl w:val="0"/>
          <w:numId w:val="12"/>
        </w:numPr>
        <w:autoSpaceDE w:val="0"/>
        <w:autoSpaceDN w:val="0"/>
        <w:adjustRightInd w:val="0"/>
        <w:ind w:left="426" w:hanging="426"/>
        <w:jc w:val="both"/>
      </w:pPr>
      <w:r w:rsidRPr="00D50E91">
        <w:t>239. § (1) bekezdésében az „Ezekben robbanásveszélyes és tűzveszélyes osztályú anyagok együtt is tárolhatók.” szövegrész,</w:t>
      </w:r>
    </w:p>
    <w:p w:rsidR="00E42596" w:rsidRPr="00D50E91" w:rsidRDefault="00E42596" w:rsidP="00E42596">
      <w:pPr>
        <w:pStyle w:val="Listaszerbekezds"/>
        <w:numPr>
          <w:ilvl w:val="0"/>
          <w:numId w:val="12"/>
        </w:numPr>
        <w:autoSpaceDE w:val="0"/>
        <w:autoSpaceDN w:val="0"/>
        <w:adjustRightInd w:val="0"/>
        <w:ind w:left="426" w:hanging="426"/>
        <w:jc w:val="both"/>
      </w:pPr>
      <w:r w:rsidRPr="00D50E91">
        <w:t>261. § (5) bekezdése.</w:t>
      </w:r>
    </w:p>
    <w:p w:rsidR="00E42596" w:rsidRPr="00D50E91" w:rsidRDefault="00E42596" w:rsidP="00E42596">
      <w:pPr>
        <w:pStyle w:val="Listaszerbekezds"/>
        <w:numPr>
          <w:ilvl w:val="0"/>
          <w:numId w:val="12"/>
        </w:numPr>
        <w:autoSpaceDE w:val="0"/>
        <w:autoSpaceDN w:val="0"/>
        <w:adjustRightInd w:val="0"/>
        <w:ind w:left="426" w:hanging="426"/>
        <w:jc w:val="both"/>
      </w:pPr>
      <w:r w:rsidRPr="00D50E91">
        <w:t>262. § (2) bekezdés j) pontjában az „és” szövegrész,</w:t>
      </w:r>
    </w:p>
    <w:p w:rsidR="00E42596" w:rsidRPr="00D50E91" w:rsidRDefault="00E42596" w:rsidP="00E42596">
      <w:pPr>
        <w:pStyle w:val="Listaszerbekezds"/>
        <w:numPr>
          <w:ilvl w:val="0"/>
          <w:numId w:val="12"/>
        </w:numPr>
        <w:autoSpaceDE w:val="0"/>
        <w:autoSpaceDN w:val="0"/>
        <w:adjustRightInd w:val="0"/>
        <w:ind w:left="426" w:hanging="426"/>
        <w:jc w:val="both"/>
      </w:pPr>
      <w:r w:rsidRPr="00D50E91">
        <w:t>270. § (2) bekezdése,</w:t>
      </w:r>
    </w:p>
    <w:p w:rsidR="00E42596" w:rsidRPr="00D50E91" w:rsidRDefault="00E42596" w:rsidP="00E42596">
      <w:pPr>
        <w:pStyle w:val="Listaszerbekezds"/>
        <w:numPr>
          <w:ilvl w:val="0"/>
          <w:numId w:val="12"/>
        </w:numPr>
        <w:autoSpaceDE w:val="0"/>
        <w:autoSpaceDN w:val="0"/>
        <w:adjustRightInd w:val="0"/>
        <w:ind w:left="426" w:hanging="426"/>
        <w:jc w:val="both"/>
      </w:pPr>
      <w:r w:rsidRPr="00D50E91">
        <w:t>270. § (3) és (6) bekezdésében a „teljes körű” szövegrész,</w:t>
      </w:r>
    </w:p>
    <w:p w:rsidR="00E42596" w:rsidRPr="00D50E91" w:rsidRDefault="00E42596" w:rsidP="00E42596">
      <w:pPr>
        <w:pStyle w:val="Listaszerbekezds"/>
        <w:numPr>
          <w:ilvl w:val="0"/>
          <w:numId w:val="12"/>
        </w:numPr>
        <w:autoSpaceDE w:val="0"/>
        <w:autoSpaceDN w:val="0"/>
        <w:adjustRightInd w:val="0"/>
        <w:ind w:left="426" w:hanging="426"/>
        <w:jc w:val="both"/>
      </w:pPr>
      <w:r w:rsidRPr="00D50E91">
        <w:t>270. § (3) és (6) bekezdésében az „a féléves felülvizsgálat feladatain felül” szövegrész,</w:t>
      </w:r>
    </w:p>
    <w:p w:rsidR="00E42596" w:rsidRPr="00D50E91" w:rsidRDefault="00E42596" w:rsidP="00E42596">
      <w:pPr>
        <w:pStyle w:val="Listaszerbekezds"/>
        <w:numPr>
          <w:ilvl w:val="0"/>
          <w:numId w:val="12"/>
        </w:numPr>
        <w:autoSpaceDE w:val="0"/>
        <w:autoSpaceDN w:val="0"/>
        <w:adjustRightInd w:val="0"/>
        <w:ind w:left="426" w:hanging="426"/>
        <w:jc w:val="both"/>
      </w:pPr>
      <w:r w:rsidRPr="00D50E91">
        <w:t>271</w:t>
      </w:r>
      <w:r w:rsidR="003528A8">
        <w:t>-</w:t>
      </w:r>
      <w:r w:rsidRPr="00D50E91">
        <w:t>273. §</w:t>
      </w:r>
      <w:r w:rsidR="003528A8">
        <w:t>-</w:t>
      </w:r>
      <w:r w:rsidRPr="00D50E91">
        <w:t>a,</w:t>
      </w:r>
    </w:p>
    <w:p w:rsidR="00E42596" w:rsidRPr="00D50E91" w:rsidRDefault="00E42596" w:rsidP="00E42596">
      <w:pPr>
        <w:pStyle w:val="Listaszerbekezds"/>
        <w:numPr>
          <w:ilvl w:val="0"/>
          <w:numId w:val="12"/>
        </w:numPr>
        <w:autoSpaceDE w:val="0"/>
        <w:autoSpaceDN w:val="0"/>
        <w:adjustRightInd w:val="0"/>
        <w:ind w:left="426" w:hanging="426"/>
        <w:jc w:val="both"/>
      </w:pPr>
      <w:r w:rsidRPr="00D50E91">
        <w:t>274. § (2) bekezdésében az „a lábszelep működőképességét, ” szövegrész,</w:t>
      </w:r>
    </w:p>
    <w:p w:rsidR="00E42596" w:rsidRPr="00D50E91" w:rsidRDefault="00E42596" w:rsidP="00E42596">
      <w:pPr>
        <w:pStyle w:val="Listaszerbekezds"/>
        <w:numPr>
          <w:ilvl w:val="0"/>
          <w:numId w:val="12"/>
        </w:numPr>
        <w:autoSpaceDE w:val="0"/>
        <w:autoSpaceDN w:val="0"/>
        <w:adjustRightInd w:val="0"/>
        <w:ind w:left="426" w:hanging="426"/>
        <w:jc w:val="both"/>
      </w:pPr>
      <w:r w:rsidRPr="00D50E91">
        <w:t>282. § (1) bekezdés e) pontjában a „vagy” szövegrész,</w:t>
      </w:r>
    </w:p>
    <w:p w:rsidR="00E42596" w:rsidRPr="00D50E91" w:rsidRDefault="00E42596" w:rsidP="00E42596">
      <w:pPr>
        <w:pStyle w:val="Listaszerbekezds"/>
        <w:numPr>
          <w:ilvl w:val="0"/>
          <w:numId w:val="12"/>
        </w:numPr>
        <w:autoSpaceDE w:val="0"/>
        <w:autoSpaceDN w:val="0"/>
        <w:adjustRightInd w:val="0"/>
        <w:ind w:left="426" w:hanging="426"/>
        <w:jc w:val="both"/>
      </w:pPr>
      <w:r w:rsidRPr="00D50E91">
        <w:t>4. melléklete,</w:t>
      </w:r>
    </w:p>
    <w:p w:rsidR="00E42596" w:rsidRPr="00D50E91" w:rsidRDefault="00E42596" w:rsidP="00E42596">
      <w:pPr>
        <w:pStyle w:val="Listaszerbekezds"/>
        <w:numPr>
          <w:ilvl w:val="0"/>
          <w:numId w:val="12"/>
        </w:numPr>
        <w:autoSpaceDE w:val="0"/>
        <w:autoSpaceDN w:val="0"/>
        <w:adjustRightInd w:val="0"/>
        <w:ind w:left="426" w:hanging="426"/>
        <w:jc w:val="both"/>
      </w:pPr>
      <w:r w:rsidRPr="00D50E91">
        <w:t>6. melléklete,</w:t>
      </w:r>
    </w:p>
    <w:p w:rsidR="00E42596" w:rsidRPr="00D50E91" w:rsidRDefault="00E42596" w:rsidP="00E42596">
      <w:pPr>
        <w:pStyle w:val="Listaszerbekezds"/>
        <w:numPr>
          <w:ilvl w:val="0"/>
          <w:numId w:val="12"/>
        </w:numPr>
        <w:autoSpaceDE w:val="0"/>
        <w:autoSpaceDN w:val="0"/>
        <w:adjustRightInd w:val="0"/>
        <w:ind w:left="426" w:hanging="426"/>
        <w:jc w:val="both"/>
      </w:pPr>
      <w:r w:rsidRPr="00D50E91">
        <w:t>10. melléklete,</w:t>
      </w:r>
    </w:p>
    <w:p w:rsidR="00E42596" w:rsidRPr="00D50E91" w:rsidRDefault="00E42596" w:rsidP="00E42596">
      <w:pPr>
        <w:pStyle w:val="Listaszerbekezds"/>
        <w:numPr>
          <w:ilvl w:val="0"/>
          <w:numId w:val="12"/>
        </w:numPr>
        <w:autoSpaceDE w:val="0"/>
        <w:autoSpaceDN w:val="0"/>
        <w:adjustRightInd w:val="0"/>
        <w:ind w:left="426" w:hanging="426"/>
        <w:jc w:val="both"/>
      </w:pPr>
      <w:r w:rsidRPr="00D50E91">
        <w:t>13. melléklete.</w:t>
      </w:r>
    </w:p>
    <w:p w:rsidR="005B415B" w:rsidRPr="00D50E91" w:rsidRDefault="005B415B" w:rsidP="00290A75">
      <w:pPr>
        <w:autoSpaceDE w:val="0"/>
        <w:autoSpaceDN w:val="0"/>
        <w:adjustRightInd w:val="0"/>
        <w:jc w:val="both"/>
      </w:pPr>
    </w:p>
    <w:p w:rsidR="005B415B" w:rsidRPr="00D50E91" w:rsidRDefault="005B415B" w:rsidP="00282674">
      <w:pPr>
        <w:keepNext/>
        <w:numPr>
          <w:ilvl w:val="0"/>
          <w:numId w:val="2"/>
        </w:numPr>
        <w:spacing w:line="276" w:lineRule="auto"/>
        <w:ind w:left="357" w:hanging="357"/>
        <w:jc w:val="center"/>
        <w:outlineLvl w:val="1"/>
        <w:rPr>
          <w:b/>
          <w:bCs/>
        </w:rPr>
      </w:pPr>
      <w:r w:rsidRPr="00D50E91">
        <w:rPr>
          <w:b/>
          <w:bCs/>
        </w:rPr>
        <w:t>§</w:t>
      </w:r>
    </w:p>
    <w:p w:rsidR="005B415B" w:rsidRPr="00D50E91" w:rsidRDefault="005B415B" w:rsidP="00B76098">
      <w:pPr>
        <w:autoSpaceDE w:val="0"/>
        <w:autoSpaceDN w:val="0"/>
        <w:adjustRightInd w:val="0"/>
        <w:jc w:val="both"/>
      </w:pPr>
    </w:p>
    <w:p w:rsidR="005B415B" w:rsidRPr="00D50E91" w:rsidRDefault="005B415B" w:rsidP="008661A1">
      <w:pPr>
        <w:autoSpaceDE w:val="0"/>
        <w:autoSpaceDN w:val="0"/>
        <w:adjustRightInd w:val="0"/>
        <w:jc w:val="both"/>
      </w:pPr>
      <w:r w:rsidRPr="00D50E91">
        <w:t>(1) Ez a rendelet a kihirdetését követő 180. napon lép hatályba.</w:t>
      </w:r>
    </w:p>
    <w:p w:rsidR="005B415B" w:rsidRPr="00D50E91" w:rsidRDefault="005B415B" w:rsidP="008661A1">
      <w:pPr>
        <w:autoSpaceDE w:val="0"/>
        <w:autoSpaceDN w:val="0"/>
        <w:adjustRightInd w:val="0"/>
        <w:jc w:val="both"/>
      </w:pPr>
    </w:p>
    <w:p w:rsidR="005B415B" w:rsidRPr="00D50E91" w:rsidRDefault="005B415B" w:rsidP="008661A1">
      <w:pPr>
        <w:autoSpaceDE w:val="0"/>
        <w:autoSpaceDN w:val="0"/>
        <w:adjustRightInd w:val="0"/>
        <w:jc w:val="both"/>
      </w:pPr>
      <w:r w:rsidRPr="00D50E91">
        <w:t>(2) A XVIII. és XIX. fejezetben foglalt használati szabályokat e rendelet hatálybalépését követően a meglévő épületek, építmények, létesítmények, szabadterek esetében is alkalmazni kell.</w:t>
      </w:r>
    </w:p>
    <w:p w:rsidR="005B415B" w:rsidRPr="00D50E91" w:rsidRDefault="005B415B" w:rsidP="008661A1">
      <w:pPr>
        <w:autoSpaceDE w:val="0"/>
        <w:autoSpaceDN w:val="0"/>
        <w:adjustRightInd w:val="0"/>
        <w:jc w:val="both"/>
      </w:pPr>
    </w:p>
    <w:p w:rsidR="005B415B" w:rsidRPr="00D50E91" w:rsidRDefault="005B415B" w:rsidP="008661A1">
      <w:pPr>
        <w:autoSpaceDE w:val="0"/>
        <w:autoSpaceDN w:val="0"/>
        <w:adjustRightInd w:val="0"/>
        <w:jc w:val="both"/>
      </w:pPr>
      <w:r w:rsidRPr="00D50E91">
        <w:t>(3) E rendelet hatálybalépését megelőzően tervezett vagy létesült épületek, építmények, létesítmények esetében az e rendeletben foglalt enyhébb követelmények – ide nem értve a (2) bekezdésben megjelölt előírásokat –, az e rendelet hatálybalépését követően akkor alkalmazhatóak, ha</w:t>
      </w:r>
    </w:p>
    <w:p w:rsidR="005B415B" w:rsidRPr="00D50E91" w:rsidRDefault="005B415B" w:rsidP="008661A1">
      <w:pPr>
        <w:autoSpaceDE w:val="0"/>
        <w:autoSpaceDN w:val="0"/>
        <w:adjustRightInd w:val="0"/>
        <w:jc w:val="both"/>
      </w:pPr>
      <w:r w:rsidRPr="00D50E91">
        <w:t>a) a korábbi követelmény nem hatósági előíráson alapult, vagy</w:t>
      </w:r>
    </w:p>
    <w:p w:rsidR="005B415B" w:rsidRPr="00D50E91" w:rsidRDefault="005B415B" w:rsidP="008661A1">
      <w:pPr>
        <w:autoSpaceDE w:val="0"/>
        <w:autoSpaceDN w:val="0"/>
        <w:adjustRightInd w:val="0"/>
        <w:jc w:val="both"/>
      </w:pPr>
      <w:r w:rsidRPr="00D50E91">
        <w:t>b) nem szolgált ellensúlyozó intézkedésként a műszaki követelményektől való eltérés engedélyezése, jóváhagyása során,</w:t>
      </w:r>
    </w:p>
    <w:p w:rsidR="005B415B" w:rsidRPr="00D50E91" w:rsidRDefault="005B415B" w:rsidP="008661A1">
      <w:pPr>
        <w:autoSpaceDE w:val="0"/>
        <w:autoSpaceDN w:val="0"/>
        <w:adjustRightInd w:val="0"/>
        <w:jc w:val="both"/>
        <w:rPr>
          <w:bCs/>
        </w:rPr>
      </w:pPr>
      <w:r w:rsidRPr="00D50E91">
        <w:t>és ezt a tűzvédelmi hatósággal előzetesen leegyeztették.</w:t>
      </w:r>
    </w:p>
    <w:p w:rsidR="005B415B" w:rsidRPr="00D50E91" w:rsidRDefault="005B415B" w:rsidP="008661A1">
      <w:pPr>
        <w:autoSpaceDE w:val="0"/>
        <w:autoSpaceDN w:val="0"/>
        <w:adjustRightInd w:val="0"/>
        <w:jc w:val="both"/>
        <w:rPr>
          <w:i/>
        </w:rPr>
      </w:pPr>
    </w:p>
    <w:p w:rsidR="005B415B" w:rsidRPr="00D50E91" w:rsidRDefault="005B415B" w:rsidP="00282674">
      <w:pPr>
        <w:keepNext/>
        <w:numPr>
          <w:ilvl w:val="0"/>
          <w:numId w:val="2"/>
        </w:numPr>
        <w:spacing w:line="276" w:lineRule="auto"/>
        <w:ind w:left="357" w:hanging="357"/>
        <w:jc w:val="center"/>
        <w:outlineLvl w:val="1"/>
        <w:rPr>
          <w:b/>
          <w:bCs/>
        </w:rPr>
      </w:pPr>
      <w:r w:rsidRPr="00D50E91">
        <w:rPr>
          <w:b/>
          <w:bCs/>
        </w:rPr>
        <w:t>§</w:t>
      </w:r>
    </w:p>
    <w:p w:rsidR="005B415B" w:rsidRPr="00D50E91" w:rsidRDefault="005B415B" w:rsidP="004738BE">
      <w:pPr>
        <w:autoSpaceDE w:val="0"/>
        <w:autoSpaceDN w:val="0"/>
        <w:adjustRightInd w:val="0"/>
        <w:jc w:val="center"/>
      </w:pPr>
    </w:p>
    <w:p w:rsidR="005B415B" w:rsidRPr="00D50E91" w:rsidRDefault="005B415B" w:rsidP="00B76098">
      <w:pPr>
        <w:autoSpaceDE w:val="0"/>
        <w:autoSpaceDN w:val="0"/>
        <w:adjustRightInd w:val="0"/>
        <w:jc w:val="both"/>
      </w:pPr>
      <w:r w:rsidRPr="00D50E91">
        <w:t>E rendelet tervezetének a műszaki szabványok és szabályok terén történő információszolgáltatási eljárás és az információs társadalom szolgáltatásaira vonatkozó szabályok megállapításáról szóló, 1998. június 22</w:t>
      </w:r>
      <w:r w:rsidR="003528A8">
        <w:t>-</w:t>
      </w:r>
      <w:r w:rsidRPr="00D50E91">
        <w:t>i 98/34/EK európai parlamenti és tanácsi irányelv a 98/48/EK európai parlamenti és tanácsi irányelvvel módosított 8</w:t>
      </w:r>
      <w:r w:rsidR="003528A8">
        <w:t>-</w:t>
      </w:r>
      <w:r w:rsidRPr="00D50E91">
        <w:t>10. cikke szerinti előzetes bejelentése megtörtént.</w:t>
      </w:r>
    </w:p>
    <w:p w:rsidR="005B415B" w:rsidRPr="00D50E91" w:rsidRDefault="005B415B" w:rsidP="00B76098">
      <w:pPr>
        <w:autoSpaceDE w:val="0"/>
        <w:autoSpaceDN w:val="0"/>
        <w:adjustRightInd w:val="0"/>
        <w:jc w:val="both"/>
      </w:pPr>
    </w:p>
    <w:p w:rsidR="005B415B" w:rsidRPr="00D50E91" w:rsidRDefault="005B415B">
      <w:pPr>
        <w:spacing w:after="200" w:line="276" w:lineRule="auto"/>
        <w:sectPr w:rsidR="005B415B" w:rsidRPr="00D50E91" w:rsidSect="00C15F5D">
          <w:headerReference w:type="default" r:id="rId8"/>
          <w:footerReference w:type="default" r:id="rId9"/>
          <w:headerReference w:type="first" r:id="rId10"/>
          <w:footerReference w:type="first" r:id="rId11"/>
          <w:pgSz w:w="11906" w:h="16838" w:code="9"/>
          <w:pgMar w:top="961" w:right="1080" w:bottom="1985" w:left="1080" w:header="419" w:footer="293" w:gutter="0"/>
          <w:cols w:space="708"/>
          <w:formProt w:val="0"/>
          <w:titlePg/>
          <w:docGrid w:linePitch="360"/>
        </w:sectPr>
      </w:pPr>
    </w:p>
    <w:p w:rsidR="005B415B" w:rsidRPr="00D50E91" w:rsidRDefault="005B415B" w:rsidP="00B76098">
      <w:pPr>
        <w:autoSpaceDE w:val="0"/>
        <w:autoSpaceDN w:val="0"/>
        <w:adjustRightInd w:val="0"/>
        <w:jc w:val="both"/>
      </w:pPr>
    </w:p>
    <w:p w:rsidR="005B415B" w:rsidRPr="00D50E91" w:rsidRDefault="005B415B" w:rsidP="00595B18">
      <w:pPr>
        <w:autoSpaceDE w:val="0"/>
        <w:autoSpaceDN w:val="0"/>
        <w:adjustRightInd w:val="0"/>
        <w:jc w:val="right"/>
        <w:rPr>
          <w:i/>
        </w:rPr>
      </w:pPr>
      <w:r w:rsidRPr="00D50E91">
        <w:rPr>
          <w:i/>
        </w:rPr>
        <w:t>1. melléklet a …./2018. (……) BM rendelethez</w:t>
      </w:r>
    </w:p>
    <w:p w:rsidR="005B415B" w:rsidRPr="00D50E91" w:rsidRDefault="005B415B" w:rsidP="00B76098">
      <w:pPr>
        <w:autoSpaceDE w:val="0"/>
        <w:autoSpaceDN w:val="0"/>
        <w:adjustRightInd w:val="0"/>
        <w:jc w:val="both"/>
      </w:pPr>
    </w:p>
    <w:p w:rsidR="005B415B" w:rsidRPr="00D50E91" w:rsidRDefault="005B415B" w:rsidP="00CE0726">
      <w:pPr>
        <w:pStyle w:val="Szvegtrzs"/>
        <w:rPr>
          <w:i/>
        </w:rPr>
      </w:pPr>
      <w:r w:rsidRPr="00D50E91">
        <w:rPr>
          <w:i/>
        </w:rPr>
        <w:t>1. melléklet az 54/2014. (XII. 5.) BM rendelethez</w:t>
      </w:r>
    </w:p>
    <w:p w:rsidR="005B415B" w:rsidRPr="00D50E91" w:rsidRDefault="005B415B" w:rsidP="00B76098">
      <w:pPr>
        <w:autoSpaceDE w:val="0"/>
        <w:autoSpaceDN w:val="0"/>
        <w:adjustRightInd w:val="0"/>
        <w:jc w:val="both"/>
      </w:pPr>
    </w:p>
    <w:p w:rsidR="005B415B" w:rsidRPr="00D50E91" w:rsidRDefault="005B415B" w:rsidP="00B76098">
      <w:pPr>
        <w:autoSpaceDE w:val="0"/>
        <w:autoSpaceDN w:val="0"/>
        <w:adjustRightInd w:val="0"/>
        <w:jc w:val="both"/>
      </w:pPr>
    </w:p>
    <w:p w:rsidR="005B415B" w:rsidRPr="00D50E91" w:rsidRDefault="005B415B" w:rsidP="00B36D4C">
      <w:pPr>
        <w:spacing w:after="120"/>
        <w:jc w:val="both"/>
        <w:rPr>
          <w:b/>
          <w:sz w:val="20"/>
        </w:rPr>
      </w:pPr>
      <w:r w:rsidRPr="00D50E91">
        <w:rPr>
          <w:b/>
          <w:sz w:val="20"/>
        </w:rPr>
        <w:t>1. táblázat, A kockázat meghatározása alcímhez</w:t>
      </w:r>
    </w:p>
    <w:tbl>
      <w:tblPr>
        <w:tblW w:w="0" w:type="auto"/>
        <w:tblInd w:w="-185" w:type="dxa"/>
        <w:tblLayout w:type="fixed"/>
        <w:tblCellMar>
          <w:left w:w="0" w:type="dxa"/>
          <w:right w:w="0" w:type="dxa"/>
        </w:tblCellMar>
        <w:tblLook w:val="0000" w:firstRow="0" w:lastRow="0" w:firstColumn="0" w:lastColumn="0" w:noHBand="0" w:noVBand="0"/>
      </w:tblPr>
      <w:tblGrid>
        <w:gridCol w:w="562"/>
        <w:gridCol w:w="6638"/>
        <w:gridCol w:w="1620"/>
        <w:gridCol w:w="1620"/>
        <w:gridCol w:w="1620"/>
        <w:gridCol w:w="1640"/>
      </w:tblGrid>
      <w:tr w:rsidR="005B415B" w:rsidRPr="00D50E91" w:rsidTr="00C65880">
        <w:tc>
          <w:tcPr>
            <w:tcW w:w="562" w:type="dxa"/>
            <w:tcBorders>
              <w:top w:val="single" w:sz="4" w:space="0" w:color="000000"/>
              <w:left w:val="single" w:sz="4" w:space="0" w:color="000000"/>
              <w:bottom w:val="single" w:sz="4" w:space="0" w:color="000000"/>
            </w:tcBorders>
          </w:tcPr>
          <w:p w:rsidR="005B415B" w:rsidRPr="00D50E91" w:rsidRDefault="005B415B" w:rsidP="00C65880">
            <w:pPr>
              <w:autoSpaceDE w:val="0"/>
            </w:pPr>
          </w:p>
        </w:tc>
        <w:tc>
          <w:tcPr>
            <w:tcW w:w="6638" w:type="dxa"/>
            <w:tcBorders>
              <w:top w:val="single" w:sz="4" w:space="0" w:color="000000"/>
              <w:left w:val="single" w:sz="4" w:space="0" w:color="000000"/>
              <w:bottom w:val="single" w:sz="4" w:space="0" w:color="000000"/>
            </w:tcBorders>
          </w:tcPr>
          <w:p w:rsidR="005B415B" w:rsidRPr="00D50E91" w:rsidRDefault="005B415B" w:rsidP="00C65880">
            <w:pPr>
              <w:autoSpaceDE w:val="0"/>
              <w:ind w:left="56" w:right="56"/>
              <w:jc w:val="center"/>
            </w:pPr>
            <w:r w:rsidRPr="00D50E91">
              <w:rPr>
                <w:sz w:val="20"/>
                <w:szCs w:val="20"/>
              </w:rPr>
              <w:t xml:space="preserve"> A</w:t>
            </w:r>
          </w:p>
        </w:tc>
        <w:tc>
          <w:tcPr>
            <w:tcW w:w="1620" w:type="dxa"/>
            <w:tcBorders>
              <w:top w:val="single" w:sz="4" w:space="0" w:color="000000"/>
              <w:left w:val="single" w:sz="4" w:space="0" w:color="000000"/>
              <w:bottom w:val="single" w:sz="4" w:space="0" w:color="000000"/>
            </w:tcBorders>
          </w:tcPr>
          <w:p w:rsidR="005B415B" w:rsidRPr="00D50E91" w:rsidRDefault="005B415B" w:rsidP="00C65880">
            <w:pPr>
              <w:autoSpaceDE w:val="0"/>
              <w:ind w:left="56" w:right="56"/>
              <w:jc w:val="center"/>
            </w:pPr>
            <w:r w:rsidRPr="00D50E91">
              <w:rPr>
                <w:sz w:val="20"/>
                <w:szCs w:val="20"/>
              </w:rPr>
              <w:t xml:space="preserve"> B</w:t>
            </w:r>
          </w:p>
        </w:tc>
        <w:tc>
          <w:tcPr>
            <w:tcW w:w="1620" w:type="dxa"/>
            <w:tcBorders>
              <w:top w:val="single" w:sz="4" w:space="0" w:color="000000"/>
              <w:left w:val="single" w:sz="4" w:space="0" w:color="000000"/>
              <w:bottom w:val="single" w:sz="4" w:space="0" w:color="000000"/>
            </w:tcBorders>
          </w:tcPr>
          <w:p w:rsidR="005B415B" w:rsidRPr="00D50E91" w:rsidRDefault="005B415B" w:rsidP="00C65880">
            <w:pPr>
              <w:autoSpaceDE w:val="0"/>
              <w:ind w:left="56" w:right="56"/>
              <w:jc w:val="center"/>
            </w:pPr>
            <w:r w:rsidRPr="00D50E91">
              <w:rPr>
                <w:sz w:val="20"/>
                <w:szCs w:val="20"/>
              </w:rPr>
              <w:t xml:space="preserve"> C</w:t>
            </w:r>
          </w:p>
        </w:tc>
        <w:tc>
          <w:tcPr>
            <w:tcW w:w="1620" w:type="dxa"/>
            <w:tcBorders>
              <w:top w:val="single" w:sz="4" w:space="0" w:color="000000"/>
              <w:left w:val="single" w:sz="4" w:space="0" w:color="000000"/>
              <w:bottom w:val="single" w:sz="4" w:space="0" w:color="000000"/>
            </w:tcBorders>
          </w:tcPr>
          <w:p w:rsidR="005B415B" w:rsidRPr="00D50E91" w:rsidRDefault="005B415B" w:rsidP="00C65880">
            <w:pPr>
              <w:autoSpaceDE w:val="0"/>
              <w:ind w:left="56" w:right="56"/>
              <w:jc w:val="center"/>
            </w:pPr>
            <w:r w:rsidRPr="00D50E91">
              <w:rPr>
                <w:sz w:val="20"/>
                <w:szCs w:val="20"/>
              </w:rPr>
              <w:t xml:space="preserve"> D</w:t>
            </w:r>
          </w:p>
        </w:tc>
        <w:tc>
          <w:tcPr>
            <w:tcW w:w="1640" w:type="dxa"/>
            <w:tcBorders>
              <w:top w:val="single" w:sz="4" w:space="0" w:color="000000"/>
              <w:left w:val="single" w:sz="4" w:space="0" w:color="000000"/>
              <w:bottom w:val="single" w:sz="4" w:space="0" w:color="000000"/>
              <w:right w:val="single" w:sz="4" w:space="0" w:color="000000"/>
            </w:tcBorders>
          </w:tcPr>
          <w:p w:rsidR="005B415B" w:rsidRPr="00D50E91" w:rsidRDefault="005B415B" w:rsidP="00C65880">
            <w:pPr>
              <w:autoSpaceDE w:val="0"/>
              <w:ind w:left="56" w:right="56"/>
              <w:jc w:val="center"/>
            </w:pPr>
            <w:r w:rsidRPr="00D50E91">
              <w:rPr>
                <w:sz w:val="20"/>
                <w:szCs w:val="20"/>
              </w:rPr>
              <w:t xml:space="preserve"> E</w:t>
            </w:r>
          </w:p>
        </w:tc>
      </w:tr>
      <w:tr w:rsidR="005B415B" w:rsidRPr="00D50E91" w:rsidTr="00C65880">
        <w:tc>
          <w:tcPr>
            <w:tcW w:w="562" w:type="dxa"/>
            <w:tcBorders>
              <w:top w:val="single" w:sz="4" w:space="0" w:color="000000"/>
              <w:left w:val="single" w:sz="4" w:space="0" w:color="000000"/>
              <w:bottom w:val="single" w:sz="4" w:space="0" w:color="000000"/>
            </w:tcBorders>
          </w:tcPr>
          <w:p w:rsidR="005B415B" w:rsidRPr="00D50E91" w:rsidRDefault="00151389" w:rsidP="00107BB1">
            <w:pPr>
              <w:autoSpaceDE w:val="0"/>
              <w:ind w:left="56" w:right="56"/>
              <w:jc w:val="center"/>
            </w:pPr>
            <w:r w:rsidRPr="00D50E91">
              <w:rPr>
                <w:sz w:val="20"/>
                <w:szCs w:val="20"/>
              </w:rPr>
              <w:t xml:space="preserve"> </w:t>
            </w:r>
            <w:r w:rsidR="005B415B" w:rsidRPr="00D50E91">
              <w:rPr>
                <w:sz w:val="20"/>
                <w:szCs w:val="20"/>
              </w:rPr>
              <w:t>1</w:t>
            </w:r>
          </w:p>
        </w:tc>
        <w:tc>
          <w:tcPr>
            <w:tcW w:w="6638" w:type="dxa"/>
            <w:tcBorders>
              <w:top w:val="single" w:sz="4" w:space="0" w:color="000000"/>
              <w:left w:val="single" w:sz="4" w:space="0" w:color="000000"/>
              <w:bottom w:val="single" w:sz="4" w:space="0" w:color="000000"/>
            </w:tcBorders>
          </w:tcPr>
          <w:p w:rsidR="005B415B" w:rsidRPr="00D50E91" w:rsidRDefault="005B415B" w:rsidP="00107BB1">
            <w:pPr>
              <w:autoSpaceDE w:val="0"/>
              <w:ind w:left="56" w:right="56"/>
              <w:jc w:val="center"/>
              <w:rPr>
                <w:b/>
              </w:rPr>
            </w:pPr>
            <w:r w:rsidRPr="00D50E91">
              <w:rPr>
                <w:b/>
                <w:sz w:val="20"/>
                <w:szCs w:val="20"/>
              </w:rPr>
              <w:t>A kockázati egység kockázati osztálya</w:t>
            </w:r>
          </w:p>
        </w:tc>
        <w:tc>
          <w:tcPr>
            <w:tcW w:w="1620" w:type="dxa"/>
            <w:tcBorders>
              <w:top w:val="single" w:sz="4" w:space="0" w:color="000000"/>
              <w:left w:val="single" w:sz="4" w:space="0" w:color="000000"/>
              <w:bottom w:val="single" w:sz="4" w:space="0" w:color="000000"/>
            </w:tcBorders>
          </w:tcPr>
          <w:p w:rsidR="005B415B" w:rsidRPr="00D50E91" w:rsidRDefault="005B415B" w:rsidP="00107BB1">
            <w:pPr>
              <w:autoSpaceDE w:val="0"/>
              <w:ind w:left="56" w:right="56"/>
              <w:jc w:val="center"/>
              <w:rPr>
                <w:b/>
              </w:rPr>
            </w:pPr>
            <w:r w:rsidRPr="00D50E91">
              <w:rPr>
                <w:b/>
                <w:sz w:val="20"/>
                <w:szCs w:val="20"/>
              </w:rPr>
              <w:t>NAK</w:t>
            </w:r>
          </w:p>
        </w:tc>
        <w:tc>
          <w:tcPr>
            <w:tcW w:w="1620" w:type="dxa"/>
            <w:tcBorders>
              <w:top w:val="single" w:sz="4" w:space="0" w:color="000000"/>
              <w:left w:val="single" w:sz="4" w:space="0" w:color="000000"/>
              <w:bottom w:val="single" w:sz="4" w:space="0" w:color="000000"/>
            </w:tcBorders>
          </w:tcPr>
          <w:p w:rsidR="005B415B" w:rsidRPr="00D50E91" w:rsidRDefault="005B415B" w:rsidP="00107BB1">
            <w:pPr>
              <w:autoSpaceDE w:val="0"/>
              <w:ind w:left="56" w:right="56"/>
              <w:jc w:val="center"/>
              <w:rPr>
                <w:b/>
              </w:rPr>
            </w:pPr>
            <w:r w:rsidRPr="00D50E91">
              <w:rPr>
                <w:b/>
                <w:sz w:val="20"/>
                <w:szCs w:val="20"/>
              </w:rPr>
              <w:t>AK</w:t>
            </w:r>
          </w:p>
        </w:tc>
        <w:tc>
          <w:tcPr>
            <w:tcW w:w="1620" w:type="dxa"/>
            <w:tcBorders>
              <w:top w:val="single" w:sz="4" w:space="0" w:color="000000"/>
              <w:left w:val="single" w:sz="4" w:space="0" w:color="000000"/>
              <w:bottom w:val="single" w:sz="4" w:space="0" w:color="000000"/>
            </w:tcBorders>
          </w:tcPr>
          <w:p w:rsidR="005B415B" w:rsidRPr="00D50E91" w:rsidRDefault="005B415B" w:rsidP="00107BB1">
            <w:pPr>
              <w:autoSpaceDE w:val="0"/>
              <w:ind w:left="56" w:right="56"/>
              <w:jc w:val="center"/>
              <w:rPr>
                <w:b/>
              </w:rPr>
            </w:pPr>
            <w:r w:rsidRPr="00D50E91">
              <w:rPr>
                <w:b/>
                <w:sz w:val="20"/>
                <w:szCs w:val="20"/>
              </w:rPr>
              <w:t>KK</w:t>
            </w:r>
          </w:p>
        </w:tc>
        <w:tc>
          <w:tcPr>
            <w:tcW w:w="1640" w:type="dxa"/>
            <w:tcBorders>
              <w:top w:val="single" w:sz="4" w:space="0" w:color="000000"/>
              <w:left w:val="single" w:sz="4" w:space="0" w:color="000000"/>
              <w:bottom w:val="single" w:sz="4" w:space="0" w:color="000000"/>
              <w:right w:val="single" w:sz="4" w:space="0" w:color="000000"/>
            </w:tcBorders>
          </w:tcPr>
          <w:p w:rsidR="005B415B" w:rsidRPr="00D50E91" w:rsidRDefault="005B415B" w:rsidP="00107BB1">
            <w:pPr>
              <w:autoSpaceDE w:val="0"/>
              <w:ind w:left="56" w:right="56"/>
              <w:jc w:val="center"/>
              <w:rPr>
                <w:b/>
              </w:rPr>
            </w:pPr>
            <w:r w:rsidRPr="00D50E91">
              <w:rPr>
                <w:b/>
                <w:sz w:val="20"/>
                <w:szCs w:val="20"/>
              </w:rPr>
              <w:t>MK</w:t>
            </w:r>
          </w:p>
        </w:tc>
      </w:tr>
      <w:tr w:rsidR="005B415B" w:rsidRPr="00D50E91" w:rsidTr="00C65880">
        <w:tc>
          <w:tcPr>
            <w:tcW w:w="562" w:type="dxa"/>
            <w:tcBorders>
              <w:top w:val="single" w:sz="4" w:space="0" w:color="000000"/>
              <w:left w:val="single" w:sz="4" w:space="0" w:color="000000"/>
              <w:bottom w:val="single" w:sz="4" w:space="0" w:color="000000"/>
            </w:tcBorders>
          </w:tcPr>
          <w:p w:rsidR="005B415B" w:rsidRPr="00D50E91" w:rsidRDefault="005B415B" w:rsidP="00C65880">
            <w:pPr>
              <w:autoSpaceDE w:val="0"/>
              <w:ind w:left="56" w:right="56"/>
              <w:jc w:val="center"/>
            </w:pPr>
            <w:r w:rsidRPr="00D50E91">
              <w:rPr>
                <w:sz w:val="20"/>
                <w:szCs w:val="20"/>
              </w:rPr>
              <w:t xml:space="preserve"> 2</w:t>
            </w:r>
          </w:p>
        </w:tc>
        <w:tc>
          <w:tcPr>
            <w:tcW w:w="6638" w:type="dxa"/>
            <w:tcBorders>
              <w:top w:val="single" w:sz="4" w:space="0" w:color="000000"/>
              <w:left w:val="single" w:sz="4" w:space="0" w:color="000000"/>
              <w:bottom w:val="single" w:sz="4" w:space="0" w:color="000000"/>
            </w:tcBorders>
          </w:tcPr>
          <w:p w:rsidR="005B415B" w:rsidRPr="00D50E91" w:rsidRDefault="005B415B" w:rsidP="00C65880">
            <w:pPr>
              <w:autoSpaceDE w:val="0"/>
              <w:ind w:left="56" w:right="56"/>
            </w:pPr>
            <w:r w:rsidRPr="00D50E91">
              <w:rPr>
                <w:sz w:val="20"/>
                <w:szCs w:val="20"/>
              </w:rPr>
              <w:t>A kockázati egység kijárati szintje és a kijárati szint feletti legfelső, a 12. § (4) bekezdése alapján figyelembe vett építményszintje közötti szintkülönbség (m), valamint a kilátó és az állvány jellegű építmény esetében a legmagasabb emberi tartózkodásra szolgáló járófelület magassága (m)</w:t>
            </w:r>
          </w:p>
          <w:p w:rsidR="005B415B" w:rsidRPr="00D50E91" w:rsidRDefault="005B415B" w:rsidP="00C65880">
            <w:pPr>
              <w:autoSpaceDE w:val="0"/>
              <w:ind w:right="56"/>
              <w:rPr>
                <w:i/>
                <w:iCs/>
                <w:sz w:val="20"/>
                <w:szCs w:val="20"/>
              </w:rPr>
            </w:pPr>
          </w:p>
          <w:p w:rsidR="005B415B" w:rsidRPr="00D50E91" w:rsidRDefault="005B415B" w:rsidP="00C65880">
            <w:pPr>
              <w:autoSpaceDE w:val="0"/>
              <w:ind w:left="56" w:right="56"/>
              <w:jc w:val="both"/>
            </w:pPr>
            <w:r w:rsidRPr="00D50E91">
              <w:rPr>
                <w:sz w:val="20"/>
                <w:szCs w:val="20"/>
              </w:rPr>
              <w:t>Több kijárati szinttel rendelkező kockázati egység esetén azt a kijárati szintet kell figyelembe venni, amely a legnagyobb szintkülönbséget eredményezi az egyes építményszintek és az azokhoz tartozó kijárati szintek szintkülönbségei között</w:t>
            </w:r>
          </w:p>
        </w:tc>
        <w:tc>
          <w:tcPr>
            <w:tcW w:w="1620" w:type="dxa"/>
            <w:tcBorders>
              <w:top w:val="single" w:sz="4" w:space="0" w:color="000000"/>
              <w:left w:val="single" w:sz="4" w:space="0" w:color="000000"/>
              <w:bottom w:val="single" w:sz="4" w:space="0" w:color="000000"/>
            </w:tcBorders>
          </w:tcPr>
          <w:p w:rsidR="005B415B" w:rsidRPr="00D50E91" w:rsidRDefault="005B415B" w:rsidP="00C65880">
            <w:pPr>
              <w:autoSpaceDE w:val="0"/>
              <w:ind w:left="56" w:right="56"/>
              <w:jc w:val="center"/>
            </w:pPr>
            <w:r w:rsidRPr="00D50E91">
              <w:rPr>
                <w:sz w:val="20"/>
                <w:szCs w:val="20"/>
              </w:rPr>
              <w:t xml:space="preserve"> 0,00</w:t>
            </w:r>
            <w:r w:rsidR="003528A8">
              <w:rPr>
                <w:sz w:val="20"/>
                <w:szCs w:val="20"/>
              </w:rPr>
              <w:t>-</w:t>
            </w:r>
            <w:r w:rsidRPr="00D50E91">
              <w:rPr>
                <w:sz w:val="20"/>
                <w:szCs w:val="20"/>
              </w:rPr>
              <w:t>7,00</w:t>
            </w:r>
          </w:p>
        </w:tc>
        <w:tc>
          <w:tcPr>
            <w:tcW w:w="1620" w:type="dxa"/>
            <w:tcBorders>
              <w:top w:val="single" w:sz="4" w:space="0" w:color="000000"/>
              <w:left w:val="single" w:sz="4" w:space="0" w:color="000000"/>
              <w:bottom w:val="single" w:sz="4" w:space="0" w:color="000000"/>
            </w:tcBorders>
          </w:tcPr>
          <w:p w:rsidR="005B415B" w:rsidRPr="00D50E91" w:rsidRDefault="005B415B" w:rsidP="00C65880">
            <w:pPr>
              <w:autoSpaceDE w:val="0"/>
              <w:ind w:left="56" w:right="56"/>
              <w:jc w:val="center"/>
            </w:pPr>
            <w:r w:rsidRPr="00D50E91">
              <w:rPr>
                <w:sz w:val="20"/>
                <w:szCs w:val="20"/>
              </w:rPr>
              <w:t xml:space="preserve"> 7,01</w:t>
            </w:r>
            <w:r w:rsidR="003528A8">
              <w:rPr>
                <w:sz w:val="20"/>
                <w:szCs w:val="20"/>
              </w:rPr>
              <w:t>-</w:t>
            </w:r>
            <w:r w:rsidRPr="00D50E91">
              <w:rPr>
                <w:sz w:val="20"/>
                <w:szCs w:val="20"/>
              </w:rPr>
              <w:t>14,00</w:t>
            </w:r>
          </w:p>
        </w:tc>
        <w:tc>
          <w:tcPr>
            <w:tcW w:w="1620" w:type="dxa"/>
            <w:tcBorders>
              <w:top w:val="single" w:sz="4" w:space="0" w:color="000000"/>
              <w:left w:val="single" w:sz="4" w:space="0" w:color="000000"/>
              <w:bottom w:val="single" w:sz="4" w:space="0" w:color="000000"/>
            </w:tcBorders>
          </w:tcPr>
          <w:p w:rsidR="005B415B" w:rsidRPr="00D50E91" w:rsidRDefault="005B415B" w:rsidP="00C65880">
            <w:pPr>
              <w:autoSpaceDE w:val="0"/>
              <w:ind w:left="56" w:right="56"/>
              <w:jc w:val="center"/>
            </w:pPr>
            <w:r w:rsidRPr="00D50E91">
              <w:rPr>
                <w:sz w:val="20"/>
                <w:szCs w:val="20"/>
              </w:rPr>
              <w:t xml:space="preserve"> 14,01</w:t>
            </w:r>
            <w:r w:rsidR="003528A8">
              <w:rPr>
                <w:sz w:val="20"/>
                <w:szCs w:val="20"/>
              </w:rPr>
              <w:t>-</w:t>
            </w:r>
            <w:r w:rsidRPr="00D50E91">
              <w:rPr>
                <w:sz w:val="20"/>
                <w:szCs w:val="20"/>
              </w:rPr>
              <w:t>30,00</w:t>
            </w:r>
          </w:p>
        </w:tc>
        <w:tc>
          <w:tcPr>
            <w:tcW w:w="1640" w:type="dxa"/>
            <w:tcBorders>
              <w:top w:val="single" w:sz="4" w:space="0" w:color="000000"/>
              <w:left w:val="single" w:sz="4" w:space="0" w:color="000000"/>
              <w:bottom w:val="single" w:sz="4" w:space="0" w:color="000000"/>
              <w:right w:val="single" w:sz="4" w:space="0" w:color="000000"/>
            </w:tcBorders>
          </w:tcPr>
          <w:p w:rsidR="005B415B" w:rsidRPr="00D50E91" w:rsidRDefault="005B415B" w:rsidP="00C65880">
            <w:pPr>
              <w:autoSpaceDE w:val="0"/>
              <w:ind w:left="56" w:right="56"/>
              <w:jc w:val="center"/>
            </w:pPr>
            <w:r w:rsidRPr="00D50E91">
              <w:rPr>
                <w:sz w:val="20"/>
                <w:szCs w:val="20"/>
              </w:rPr>
              <w:t xml:space="preserve"> &gt;30,00</w:t>
            </w:r>
          </w:p>
        </w:tc>
      </w:tr>
      <w:tr w:rsidR="005B415B" w:rsidRPr="00D50E91" w:rsidTr="00C65880">
        <w:tc>
          <w:tcPr>
            <w:tcW w:w="562" w:type="dxa"/>
            <w:tcBorders>
              <w:top w:val="single" w:sz="4" w:space="0" w:color="000000"/>
              <w:left w:val="single" w:sz="4" w:space="0" w:color="000000"/>
              <w:bottom w:val="single" w:sz="4" w:space="0" w:color="000000"/>
            </w:tcBorders>
          </w:tcPr>
          <w:p w:rsidR="005B415B" w:rsidRPr="00D50E91" w:rsidRDefault="005B415B" w:rsidP="00C65880">
            <w:pPr>
              <w:autoSpaceDE w:val="0"/>
              <w:ind w:left="56" w:right="56"/>
              <w:jc w:val="center"/>
            </w:pPr>
            <w:r w:rsidRPr="00D50E91">
              <w:rPr>
                <w:sz w:val="20"/>
                <w:szCs w:val="20"/>
              </w:rPr>
              <w:t xml:space="preserve"> 3</w:t>
            </w:r>
          </w:p>
        </w:tc>
        <w:tc>
          <w:tcPr>
            <w:tcW w:w="6638" w:type="dxa"/>
            <w:tcBorders>
              <w:top w:val="single" w:sz="4" w:space="0" w:color="000000"/>
              <w:left w:val="single" w:sz="4" w:space="0" w:color="000000"/>
              <w:bottom w:val="single" w:sz="4" w:space="0" w:color="000000"/>
            </w:tcBorders>
          </w:tcPr>
          <w:p w:rsidR="005B415B" w:rsidRPr="00D50E91" w:rsidRDefault="005B415B" w:rsidP="00C65880">
            <w:pPr>
              <w:autoSpaceDE w:val="0"/>
              <w:ind w:left="56" w:right="56"/>
            </w:pPr>
            <w:r w:rsidRPr="00D50E91">
              <w:rPr>
                <w:sz w:val="20"/>
                <w:szCs w:val="20"/>
              </w:rPr>
              <w:t>A kockázati egység kijárati szintje és a kijárati szint alatti legalsó építményszintje közötti szintkülönbség (m)</w:t>
            </w:r>
          </w:p>
          <w:p w:rsidR="005B415B" w:rsidRPr="00D50E91" w:rsidRDefault="005B415B" w:rsidP="00C65880">
            <w:pPr>
              <w:autoSpaceDE w:val="0"/>
              <w:ind w:left="56" w:right="56"/>
              <w:rPr>
                <w:sz w:val="20"/>
                <w:szCs w:val="20"/>
              </w:rPr>
            </w:pPr>
          </w:p>
          <w:p w:rsidR="005B415B" w:rsidRPr="00D50E91" w:rsidRDefault="005B415B" w:rsidP="00C65880">
            <w:pPr>
              <w:autoSpaceDE w:val="0"/>
              <w:ind w:left="56" w:right="56"/>
            </w:pPr>
            <w:r w:rsidRPr="00D50E91">
              <w:rPr>
                <w:sz w:val="20"/>
                <w:szCs w:val="20"/>
              </w:rPr>
              <w:t>Több kijárati szinttel rendelkező kockázati egység esetén azt a kijárati szintet kell figyelembe venni, amely a legnagyobb szintkülönbséget eredményezi az egyes építményszintek és az azokhoz tartozó kijárati szintek szintkülönbségei között</w:t>
            </w:r>
          </w:p>
        </w:tc>
        <w:tc>
          <w:tcPr>
            <w:tcW w:w="1620" w:type="dxa"/>
            <w:tcBorders>
              <w:top w:val="single" w:sz="4" w:space="0" w:color="000000"/>
              <w:left w:val="single" w:sz="4" w:space="0" w:color="000000"/>
              <w:bottom w:val="single" w:sz="4" w:space="0" w:color="000000"/>
            </w:tcBorders>
          </w:tcPr>
          <w:p w:rsidR="005B415B" w:rsidRPr="00D50E91" w:rsidRDefault="005B415B" w:rsidP="00C65880">
            <w:pPr>
              <w:spacing w:before="60" w:after="60"/>
              <w:jc w:val="center"/>
            </w:pPr>
            <w:r w:rsidRPr="00D50E91">
              <w:rPr>
                <w:sz w:val="20"/>
                <w:szCs w:val="20"/>
              </w:rPr>
              <w:t xml:space="preserve">0,00 </w:t>
            </w:r>
            <w:r w:rsidR="003528A8">
              <w:rPr>
                <w:sz w:val="20"/>
                <w:szCs w:val="20"/>
              </w:rPr>
              <w:t>-</w:t>
            </w:r>
            <w:r w:rsidRPr="00D50E91">
              <w:rPr>
                <w:sz w:val="20"/>
                <w:szCs w:val="20"/>
              </w:rPr>
              <w:t xml:space="preserve"> 4,00</w:t>
            </w:r>
          </w:p>
        </w:tc>
        <w:tc>
          <w:tcPr>
            <w:tcW w:w="1620" w:type="dxa"/>
            <w:tcBorders>
              <w:top w:val="single" w:sz="4" w:space="0" w:color="000000"/>
              <w:left w:val="single" w:sz="4" w:space="0" w:color="000000"/>
              <w:bottom w:val="single" w:sz="4" w:space="0" w:color="000000"/>
            </w:tcBorders>
          </w:tcPr>
          <w:p w:rsidR="005B415B" w:rsidRPr="00D50E91" w:rsidRDefault="005B415B" w:rsidP="00C65880">
            <w:pPr>
              <w:spacing w:before="60" w:after="60"/>
              <w:jc w:val="center"/>
            </w:pPr>
            <w:r w:rsidRPr="00D50E91">
              <w:rPr>
                <w:sz w:val="20"/>
                <w:szCs w:val="20"/>
              </w:rPr>
              <w:t xml:space="preserve">4,01 </w:t>
            </w:r>
            <w:r w:rsidR="003528A8">
              <w:rPr>
                <w:sz w:val="20"/>
                <w:szCs w:val="20"/>
              </w:rPr>
              <w:t>-</w:t>
            </w:r>
            <w:r w:rsidRPr="00D50E91">
              <w:rPr>
                <w:sz w:val="20"/>
                <w:szCs w:val="20"/>
              </w:rPr>
              <w:t xml:space="preserve"> 7,00</w:t>
            </w:r>
          </w:p>
          <w:p w:rsidR="005B415B" w:rsidRPr="00D50E91" w:rsidRDefault="005B415B" w:rsidP="00C65880">
            <w:pPr>
              <w:spacing w:before="60" w:after="60"/>
              <w:jc w:val="center"/>
              <w:rPr>
                <w:sz w:val="20"/>
                <w:szCs w:val="20"/>
              </w:rPr>
            </w:pPr>
          </w:p>
        </w:tc>
        <w:tc>
          <w:tcPr>
            <w:tcW w:w="1620" w:type="dxa"/>
            <w:tcBorders>
              <w:top w:val="single" w:sz="4" w:space="0" w:color="000000"/>
              <w:left w:val="single" w:sz="4" w:space="0" w:color="000000"/>
              <w:bottom w:val="single" w:sz="4" w:space="0" w:color="000000"/>
            </w:tcBorders>
          </w:tcPr>
          <w:p w:rsidR="005B415B" w:rsidRPr="00D50E91" w:rsidRDefault="005B415B" w:rsidP="00C65880">
            <w:pPr>
              <w:spacing w:before="60" w:after="60"/>
              <w:jc w:val="center"/>
            </w:pPr>
            <w:r w:rsidRPr="00D50E91">
              <w:rPr>
                <w:sz w:val="20"/>
                <w:szCs w:val="20"/>
              </w:rPr>
              <w:t xml:space="preserve">7,01 </w:t>
            </w:r>
            <w:r w:rsidR="003528A8">
              <w:rPr>
                <w:sz w:val="20"/>
                <w:szCs w:val="20"/>
              </w:rPr>
              <w:t>-</w:t>
            </w:r>
            <w:r w:rsidRPr="00D50E91">
              <w:rPr>
                <w:sz w:val="20"/>
                <w:szCs w:val="20"/>
              </w:rPr>
              <w:t xml:space="preserve"> 14,00</w:t>
            </w:r>
          </w:p>
          <w:p w:rsidR="005B415B" w:rsidRPr="00D50E91" w:rsidRDefault="005B415B" w:rsidP="00C65880">
            <w:pPr>
              <w:spacing w:before="60" w:after="60"/>
              <w:jc w:val="center"/>
              <w:rPr>
                <w:sz w:val="20"/>
                <w:szCs w:val="20"/>
              </w:rPr>
            </w:pPr>
          </w:p>
        </w:tc>
        <w:tc>
          <w:tcPr>
            <w:tcW w:w="1640" w:type="dxa"/>
            <w:tcBorders>
              <w:top w:val="single" w:sz="4" w:space="0" w:color="000000"/>
              <w:left w:val="single" w:sz="4" w:space="0" w:color="000000"/>
              <w:bottom w:val="single" w:sz="4" w:space="0" w:color="000000"/>
              <w:right w:val="single" w:sz="4" w:space="0" w:color="000000"/>
            </w:tcBorders>
          </w:tcPr>
          <w:p w:rsidR="005B415B" w:rsidRPr="00D50E91" w:rsidRDefault="005B415B" w:rsidP="00C65880">
            <w:pPr>
              <w:spacing w:before="60" w:after="60"/>
              <w:jc w:val="center"/>
            </w:pPr>
            <w:r w:rsidRPr="00D50E91">
              <w:rPr>
                <w:sz w:val="20"/>
                <w:szCs w:val="20"/>
              </w:rPr>
              <w:t>&gt; 14,00</w:t>
            </w:r>
          </w:p>
          <w:p w:rsidR="005B415B" w:rsidRPr="00D50E91" w:rsidRDefault="005B415B" w:rsidP="00C65880">
            <w:pPr>
              <w:spacing w:before="60" w:after="60"/>
              <w:jc w:val="center"/>
              <w:rPr>
                <w:sz w:val="20"/>
                <w:szCs w:val="20"/>
              </w:rPr>
            </w:pPr>
          </w:p>
        </w:tc>
      </w:tr>
      <w:tr w:rsidR="005B415B" w:rsidRPr="00D50E91" w:rsidTr="00C65880">
        <w:tc>
          <w:tcPr>
            <w:tcW w:w="562" w:type="dxa"/>
            <w:tcBorders>
              <w:left w:val="single" w:sz="4" w:space="0" w:color="000000"/>
              <w:bottom w:val="single" w:sz="4" w:space="0" w:color="000000"/>
            </w:tcBorders>
          </w:tcPr>
          <w:p w:rsidR="005B415B" w:rsidRPr="00D50E91" w:rsidRDefault="005B415B" w:rsidP="00C65880">
            <w:pPr>
              <w:autoSpaceDE w:val="0"/>
              <w:ind w:left="56" w:right="56"/>
              <w:jc w:val="center"/>
            </w:pPr>
            <w:r w:rsidRPr="00D50E91">
              <w:rPr>
                <w:sz w:val="20"/>
                <w:szCs w:val="20"/>
              </w:rPr>
              <w:t xml:space="preserve"> 4</w:t>
            </w:r>
          </w:p>
        </w:tc>
        <w:tc>
          <w:tcPr>
            <w:tcW w:w="6638" w:type="dxa"/>
            <w:tcBorders>
              <w:left w:val="single" w:sz="4" w:space="0" w:color="000000"/>
              <w:bottom w:val="single" w:sz="4" w:space="0" w:color="000000"/>
            </w:tcBorders>
          </w:tcPr>
          <w:p w:rsidR="005B415B" w:rsidRPr="00D50E91" w:rsidRDefault="005B415B" w:rsidP="00C65880">
            <w:pPr>
              <w:autoSpaceDE w:val="0"/>
              <w:ind w:left="56" w:right="56"/>
            </w:pPr>
            <w:r w:rsidRPr="00D50E91">
              <w:rPr>
                <w:sz w:val="20"/>
                <w:szCs w:val="20"/>
              </w:rPr>
              <w:t xml:space="preserve"> A kockázati egység legnagyobb befogadóképességű helyiségének befogadó</w:t>
            </w:r>
            <w:r w:rsidR="003528A8">
              <w:rPr>
                <w:sz w:val="20"/>
                <w:szCs w:val="20"/>
              </w:rPr>
              <w:t>-</w:t>
            </w:r>
            <w:r w:rsidRPr="00D50E91">
              <w:rPr>
                <w:sz w:val="20"/>
                <w:szCs w:val="20"/>
              </w:rPr>
              <w:t>képessége, valamint a kilátó, a ponyvaszerkezetű építmény, az állvány jellegű építmény és szín esetében az építmény befogadóképessége (fő)</w:t>
            </w:r>
          </w:p>
        </w:tc>
        <w:tc>
          <w:tcPr>
            <w:tcW w:w="1620" w:type="dxa"/>
            <w:tcBorders>
              <w:left w:val="single" w:sz="4" w:space="0" w:color="000000"/>
              <w:bottom w:val="single" w:sz="4" w:space="0" w:color="000000"/>
            </w:tcBorders>
          </w:tcPr>
          <w:p w:rsidR="005B415B" w:rsidRPr="00D50E91" w:rsidRDefault="005B415B" w:rsidP="00C65880">
            <w:pPr>
              <w:autoSpaceDE w:val="0"/>
              <w:ind w:left="56" w:right="56"/>
              <w:jc w:val="center"/>
            </w:pPr>
            <w:r w:rsidRPr="00D50E91">
              <w:rPr>
                <w:sz w:val="20"/>
                <w:szCs w:val="20"/>
              </w:rPr>
              <w:t xml:space="preserve"> 1</w:t>
            </w:r>
            <w:r w:rsidR="003528A8">
              <w:rPr>
                <w:sz w:val="20"/>
                <w:szCs w:val="20"/>
              </w:rPr>
              <w:t>-</w:t>
            </w:r>
            <w:r w:rsidRPr="00D50E91">
              <w:rPr>
                <w:sz w:val="20"/>
                <w:szCs w:val="20"/>
              </w:rPr>
              <w:t>50</w:t>
            </w:r>
          </w:p>
        </w:tc>
        <w:tc>
          <w:tcPr>
            <w:tcW w:w="1620" w:type="dxa"/>
            <w:tcBorders>
              <w:left w:val="single" w:sz="4" w:space="0" w:color="000000"/>
              <w:bottom w:val="single" w:sz="4" w:space="0" w:color="000000"/>
            </w:tcBorders>
          </w:tcPr>
          <w:p w:rsidR="005B415B" w:rsidRPr="00D50E91" w:rsidRDefault="005B415B" w:rsidP="00C65880">
            <w:pPr>
              <w:autoSpaceDE w:val="0"/>
              <w:ind w:left="56" w:right="56"/>
              <w:jc w:val="center"/>
            </w:pPr>
            <w:r w:rsidRPr="00D50E91">
              <w:rPr>
                <w:sz w:val="20"/>
                <w:szCs w:val="20"/>
              </w:rPr>
              <w:t xml:space="preserve"> 51</w:t>
            </w:r>
            <w:r w:rsidR="003528A8">
              <w:rPr>
                <w:sz w:val="20"/>
                <w:szCs w:val="20"/>
              </w:rPr>
              <w:t>-</w:t>
            </w:r>
            <w:r w:rsidRPr="00D50E91">
              <w:rPr>
                <w:sz w:val="20"/>
                <w:szCs w:val="20"/>
              </w:rPr>
              <w:t>300</w:t>
            </w:r>
          </w:p>
        </w:tc>
        <w:tc>
          <w:tcPr>
            <w:tcW w:w="1620" w:type="dxa"/>
            <w:tcBorders>
              <w:left w:val="single" w:sz="4" w:space="0" w:color="000000"/>
              <w:bottom w:val="single" w:sz="4" w:space="0" w:color="000000"/>
            </w:tcBorders>
          </w:tcPr>
          <w:p w:rsidR="005B415B" w:rsidRPr="00D50E91" w:rsidRDefault="005B415B" w:rsidP="00C65880">
            <w:pPr>
              <w:autoSpaceDE w:val="0"/>
              <w:ind w:left="56" w:right="56"/>
              <w:jc w:val="center"/>
            </w:pPr>
            <w:r w:rsidRPr="00D50E91">
              <w:rPr>
                <w:sz w:val="20"/>
                <w:szCs w:val="20"/>
              </w:rPr>
              <w:t xml:space="preserve"> &gt; 300</w:t>
            </w:r>
          </w:p>
        </w:tc>
        <w:tc>
          <w:tcPr>
            <w:tcW w:w="1640" w:type="dxa"/>
            <w:tcBorders>
              <w:left w:val="single" w:sz="4" w:space="0" w:color="000000"/>
              <w:bottom w:val="single" w:sz="4" w:space="0" w:color="000000"/>
              <w:right w:val="single" w:sz="4" w:space="0" w:color="000000"/>
            </w:tcBorders>
          </w:tcPr>
          <w:p w:rsidR="005B415B" w:rsidRPr="00D50E91" w:rsidRDefault="005B415B" w:rsidP="00C65880">
            <w:pPr>
              <w:autoSpaceDE w:val="0"/>
              <w:ind w:left="72" w:right="56" w:hanging="16"/>
              <w:jc w:val="center"/>
            </w:pPr>
            <w:r w:rsidRPr="00D50E91">
              <w:rPr>
                <w:sz w:val="20"/>
                <w:szCs w:val="20"/>
              </w:rPr>
              <w:t>a létszám nem releváns</w:t>
            </w:r>
          </w:p>
        </w:tc>
      </w:tr>
    </w:tbl>
    <w:p w:rsidR="005B415B" w:rsidRPr="00D50E91" w:rsidRDefault="005B415B" w:rsidP="00595B18">
      <w:pPr>
        <w:rPr>
          <w:b/>
        </w:rPr>
      </w:pPr>
    </w:p>
    <w:p w:rsidR="005B415B" w:rsidRPr="00D50E91" w:rsidRDefault="005B415B" w:rsidP="00595B18">
      <w:pPr>
        <w:jc w:val="both"/>
      </w:pPr>
    </w:p>
    <w:p w:rsidR="005B415B" w:rsidRPr="00D50E91" w:rsidRDefault="005B415B" w:rsidP="00B36D4C">
      <w:pPr>
        <w:spacing w:after="120"/>
        <w:jc w:val="both"/>
        <w:rPr>
          <w:b/>
          <w:sz w:val="20"/>
        </w:rPr>
      </w:pPr>
      <w:r w:rsidRPr="00D50E91">
        <w:rPr>
          <w:b/>
          <w:sz w:val="20"/>
        </w:rPr>
        <w:t>2. táblázat, A kockázat meghatározása alcímhez</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2"/>
        <w:gridCol w:w="8504"/>
        <w:gridCol w:w="2268"/>
      </w:tblGrid>
      <w:tr w:rsidR="005B415B" w:rsidRPr="00D50E91" w:rsidTr="00C65880">
        <w:tc>
          <w:tcPr>
            <w:tcW w:w="562" w:type="dxa"/>
          </w:tcPr>
          <w:p w:rsidR="005B415B" w:rsidRPr="00D50E91" w:rsidRDefault="005B415B" w:rsidP="00C65880">
            <w:pPr>
              <w:autoSpaceDE w:val="0"/>
              <w:snapToGrid w:val="0"/>
              <w:rPr>
                <w:sz w:val="20"/>
                <w:szCs w:val="20"/>
              </w:rPr>
            </w:pPr>
          </w:p>
        </w:tc>
        <w:tc>
          <w:tcPr>
            <w:tcW w:w="8504" w:type="dxa"/>
          </w:tcPr>
          <w:p w:rsidR="005B415B" w:rsidRPr="00D50E91" w:rsidRDefault="005B415B" w:rsidP="00C65880">
            <w:pPr>
              <w:autoSpaceDE w:val="0"/>
              <w:ind w:left="56" w:right="56"/>
              <w:jc w:val="center"/>
            </w:pPr>
            <w:r w:rsidRPr="00D50E91">
              <w:rPr>
                <w:sz w:val="20"/>
                <w:szCs w:val="20"/>
              </w:rPr>
              <w:t xml:space="preserve"> A</w:t>
            </w:r>
          </w:p>
        </w:tc>
        <w:tc>
          <w:tcPr>
            <w:tcW w:w="2268" w:type="dxa"/>
          </w:tcPr>
          <w:p w:rsidR="005B415B" w:rsidRPr="00D50E91" w:rsidRDefault="005B415B" w:rsidP="00C65880">
            <w:pPr>
              <w:autoSpaceDE w:val="0"/>
              <w:ind w:left="56" w:right="56"/>
              <w:jc w:val="center"/>
            </w:pPr>
            <w:r w:rsidRPr="00D50E91">
              <w:rPr>
                <w:sz w:val="20"/>
                <w:szCs w:val="20"/>
              </w:rPr>
              <w:t xml:space="preserve"> B</w:t>
            </w:r>
          </w:p>
        </w:tc>
      </w:tr>
      <w:tr w:rsidR="005B415B" w:rsidRPr="00D50E91" w:rsidTr="00C65880">
        <w:tc>
          <w:tcPr>
            <w:tcW w:w="562" w:type="dxa"/>
          </w:tcPr>
          <w:p w:rsidR="005B415B" w:rsidRPr="00D50E91" w:rsidRDefault="005B415B" w:rsidP="00C65880">
            <w:pPr>
              <w:autoSpaceDE w:val="0"/>
              <w:ind w:left="56" w:right="56"/>
              <w:jc w:val="center"/>
            </w:pPr>
            <w:r w:rsidRPr="00D50E91">
              <w:rPr>
                <w:sz w:val="20"/>
                <w:szCs w:val="20"/>
              </w:rPr>
              <w:t xml:space="preserve"> 1</w:t>
            </w:r>
          </w:p>
        </w:tc>
        <w:tc>
          <w:tcPr>
            <w:tcW w:w="8504" w:type="dxa"/>
          </w:tcPr>
          <w:p w:rsidR="005B415B" w:rsidRPr="00D50E91" w:rsidRDefault="005B415B" w:rsidP="00C65880">
            <w:pPr>
              <w:autoSpaceDE w:val="0"/>
              <w:ind w:left="56" w:right="56"/>
              <w:jc w:val="center"/>
              <w:rPr>
                <w:b/>
              </w:rPr>
            </w:pPr>
            <w:r w:rsidRPr="00D50E91">
              <w:rPr>
                <w:b/>
                <w:sz w:val="20"/>
                <w:szCs w:val="20"/>
              </w:rPr>
              <w:t xml:space="preserve"> </w:t>
            </w:r>
            <w:r w:rsidRPr="00D50E91">
              <w:rPr>
                <w:b/>
                <w:sz w:val="20"/>
                <w:szCs w:val="20"/>
              </w:rPr>
              <w:br/>
              <w:t>A kockázati egységben tartózkodók menekülési képessége</w:t>
            </w:r>
          </w:p>
          <w:p w:rsidR="005B415B" w:rsidRPr="00D50E91" w:rsidRDefault="005B415B" w:rsidP="00C65880">
            <w:pPr>
              <w:autoSpaceDE w:val="0"/>
              <w:ind w:left="56" w:right="56"/>
              <w:jc w:val="center"/>
              <w:rPr>
                <w:b/>
              </w:rPr>
            </w:pPr>
            <w:r w:rsidRPr="00D50E91">
              <w:rPr>
                <w:b/>
                <w:color w:val="993300"/>
                <w:sz w:val="20"/>
                <w:szCs w:val="20"/>
              </w:rPr>
              <w:t xml:space="preserve"> </w:t>
            </w:r>
          </w:p>
        </w:tc>
        <w:tc>
          <w:tcPr>
            <w:tcW w:w="2268" w:type="dxa"/>
          </w:tcPr>
          <w:p w:rsidR="005B415B" w:rsidRPr="00D50E91" w:rsidRDefault="005B415B" w:rsidP="00C65880">
            <w:pPr>
              <w:autoSpaceDE w:val="0"/>
              <w:ind w:left="56" w:right="56"/>
              <w:jc w:val="center"/>
              <w:rPr>
                <w:b/>
              </w:rPr>
            </w:pPr>
            <w:r w:rsidRPr="00D50E91">
              <w:rPr>
                <w:b/>
                <w:sz w:val="20"/>
                <w:szCs w:val="20"/>
              </w:rPr>
              <w:t xml:space="preserve"> A kockázati egység kockázata</w:t>
            </w:r>
          </w:p>
        </w:tc>
      </w:tr>
      <w:tr w:rsidR="005B415B" w:rsidRPr="00D50E91" w:rsidTr="00C65880">
        <w:tc>
          <w:tcPr>
            <w:tcW w:w="562" w:type="dxa"/>
          </w:tcPr>
          <w:p w:rsidR="005B415B" w:rsidRPr="00D50E91" w:rsidRDefault="005B415B" w:rsidP="00C65880">
            <w:pPr>
              <w:autoSpaceDE w:val="0"/>
              <w:ind w:left="56" w:right="56"/>
              <w:jc w:val="center"/>
            </w:pPr>
            <w:r w:rsidRPr="00D50E91">
              <w:rPr>
                <w:sz w:val="20"/>
                <w:szCs w:val="20"/>
              </w:rPr>
              <w:t xml:space="preserve"> 2</w:t>
            </w:r>
          </w:p>
        </w:tc>
        <w:tc>
          <w:tcPr>
            <w:tcW w:w="8504" w:type="dxa"/>
          </w:tcPr>
          <w:p w:rsidR="005B415B" w:rsidRPr="00D50E91" w:rsidRDefault="005B415B" w:rsidP="00C65880">
            <w:pPr>
              <w:autoSpaceDE w:val="0"/>
              <w:ind w:left="56" w:right="56"/>
              <w:jc w:val="center"/>
            </w:pPr>
            <w:r w:rsidRPr="00D50E91">
              <w:rPr>
                <w:sz w:val="20"/>
                <w:szCs w:val="20"/>
              </w:rPr>
              <w:br/>
              <w:t>önállóan menekülnek</w:t>
            </w:r>
          </w:p>
        </w:tc>
        <w:tc>
          <w:tcPr>
            <w:tcW w:w="2268" w:type="dxa"/>
          </w:tcPr>
          <w:p w:rsidR="005B415B" w:rsidRPr="00D50E91" w:rsidRDefault="005B415B" w:rsidP="00C65880">
            <w:pPr>
              <w:autoSpaceDE w:val="0"/>
              <w:ind w:left="56" w:right="56"/>
              <w:jc w:val="center"/>
              <w:rPr>
                <w:sz w:val="20"/>
                <w:szCs w:val="20"/>
              </w:rPr>
            </w:pPr>
            <w:r w:rsidRPr="00D50E91">
              <w:rPr>
                <w:sz w:val="20"/>
                <w:szCs w:val="20"/>
              </w:rPr>
              <w:br/>
              <w:t>NAK</w:t>
            </w:r>
          </w:p>
          <w:p w:rsidR="00E651AC" w:rsidRPr="00D50E91" w:rsidRDefault="00E651AC" w:rsidP="00C65880">
            <w:pPr>
              <w:autoSpaceDE w:val="0"/>
              <w:ind w:left="56" w:right="56"/>
              <w:jc w:val="center"/>
            </w:pPr>
          </w:p>
        </w:tc>
      </w:tr>
      <w:tr w:rsidR="005B415B" w:rsidRPr="00D50E91" w:rsidTr="00C65880">
        <w:tc>
          <w:tcPr>
            <w:tcW w:w="562" w:type="dxa"/>
          </w:tcPr>
          <w:p w:rsidR="005B415B" w:rsidRPr="00D50E91" w:rsidRDefault="005B415B" w:rsidP="00C65880">
            <w:pPr>
              <w:autoSpaceDE w:val="0"/>
              <w:ind w:left="56" w:right="56"/>
              <w:jc w:val="center"/>
            </w:pPr>
            <w:r w:rsidRPr="00D50E91">
              <w:rPr>
                <w:sz w:val="20"/>
                <w:szCs w:val="20"/>
              </w:rPr>
              <w:lastRenderedPageBreak/>
              <w:t xml:space="preserve"> 3</w:t>
            </w:r>
          </w:p>
        </w:tc>
        <w:tc>
          <w:tcPr>
            <w:tcW w:w="8504" w:type="dxa"/>
          </w:tcPr>
          <w:p w:rsidR="005B415B" w:rsidRPr="00D50E91" w:rsidRDefault="005B415B" w:rsidP="00C65880">
            <w:pPr>
              <w:autoSpaceDE w:val="0"/>
              <w:ind w:left="56" w:right="56"/>
              <w:jc w:val="center"/>
            </w:pPr>
            <w:r w:rsidRPr="00D50E91">
              <w:rPr>
                <w:sz w:val="20"/>
                <w:szCs w:val="20"/>
              </w:rPr>
              <w:t xml:space="preserve"> </w:t>
            </w:r>
            <w:r w:rsidRPr="00D50E91">
              <w:rPr>
                <w:sz w:val="20"/>
                <w:szCs w:val="20"/>
              </w:rPr>
              <w:br/>
              <w:t>segítséggel menekülnek</w:t>
            </w:r>
          </w:p>
        </w:tc>
        <w:tc>
          <w:tcPr>
            <w:tcW w:w="2268" w:type="dxa"/>
          </w:tcPr>
          <w:p w:rsidR="005B415B" w:rsidRPr="00D50E91" w:rsidRDefault="005B415B" w:rsidP="00C65880">
            <w:pPr>
              <w:autoSpaceDE w:val="0"/>
              <w:ind w:left="56" w:right="56"/>
              <w:jc w:val="center"/>
              <w:rPr>
                <w:sz w:val="20"/>
                <w:szCs w:val="20"/>
              </w:rPr>
            </w:pPr>
            <w:r w:rsidRPr="00D50E91">
              <w:rPr>
                <w:sz w:val="20"/>
                <w:szCs w:val="20"/>
              </w:rPr>
              <w:t xml:space="preserve"> </w:t>
            </w:r>
            <w:r w:rsidRPr="00D50E91">
              <w:rPr>
                <w:sz w:val="20"/>
                <w:szCs w:val="20"/>
              </w:rPr>
              <w:br/>
              <w:t>AK</w:t>
            </w:r>
          </w:p>
          <w:p w:rsidR="00E651AC" w:rsidRPr="00D50E91" w:rsidRDefault="00E651AC" w:rsidP="00C65880">
            <w:pPr>
              <w:autoSpaceDE w:val="0"/>
              <w:ind w:left="56" w:right="56"/>
              <w:jc w:val="center"/>
            </w:pPr>
          </w:p>
        </w:tc>
      </w:tr>
      <w:tr w:rsidR="005B415B" w:rsidRPr="00D50E91" w:rsidTr="00C65880">
        <w:tc>
          <w:tcPr>
            <w:tcW w:w="562" w:type="dxa"/>
          </w:tcPr>
          <w:p w:rsidR="005B415B" w:rsidRPr="00D50E91" w:rsidRDefault="005B415B" w:rsidP="00C65880">
            <w:pPr>
              <w:autoSpaceDE w:val="0"/>
              <w:ind w:left="56" w:right="56"/>
              <w:jc w:val="center"/>
            </w:pPr>
            <w:r w:rsidRPr="00D50E91">
              <w:rPr>
                <w:sz w:val="20"/>
                <w:szCs w:val="20"/>
              </w:rPr>
              <w:t xml:space="preserve"> 4</w:t>
            </w:r>
          </w:p>
        </w:tc>
        <w:tc>
          <w:tcPr>
            <w:tcW w:w="8504" w:type="dxa"/>
          </w:tcPr>
          <w:p w:rsidR="005B415B" w:rsidRPr="00D50E91" w:rsidRDefault="005B415B" w:rsidP="00C65880">
            <w:pPr>
              <w:autoSpaceDE w:val="0"/>
              <w:ind w:left="56" w:right="56"/>
              <w:jc w:val="center"/>
            </w:pPr>
            <w:r w:rsidRPr="00D50E91">
              <w:rPr>
                <w:sz w:val="20"/>
                <w:szCs w:val="20"/>
              </w:rPr>
              <w:t xml:space="preserve"> </w:t>
            </w:r>
            <w:r w:rsidRPr="00D50E91">
              <w:rPr>
                <w:sz w:val="20"/>
                <w:szCs w:val="20"/>
              </w:rPr>
              <w:br/>
              <w:t>előkészítés nélkül menthetők</w:t>
            </w:r>
          </w:p>
        </w:tc>
        <w:tc>
          <w:tcPr>
            <w:tcW w:w="2268" w:type="dxa"/>
          </w:tcPr>
          <w:p w:rsidR="005B415B" w:rsidRPr="00D50E91" w:rsidRDefault="005B415B" w:rsidP="00C65880">
            <w:pPr>
              <w:autoSpaceDE w:val="0"/>
              <w:ind w:left="56" w:right="56"/>
              <w:jc w:val="center"/>
              <w:rPr>
                <w:sz w:val="20"/>
                <w:szCs w:val="20"/>
              </w:rPr>
            </w:pPr>
            <w:r w:rsidRPr="00D50E91">
              <w:rPr>
                <w:sz w:val="20"/>
                <w:szCs w:val="20"/>
              </w:rPr>
              <w:t xml:space="preserve"> </w:t>
            </w:r>
            <w:r w:rsidRPr="00D50E91">
              <w:rPr>
                <w:sz w:val="20"/>
                <w:szCs w:val="20"/>
              </w:rPr>
              <w:br/>
              <w:t>KK</w:t>
            </w:r>
          </w:p>
          <w:p w:rsidR="005B415B" w:rsidRPr="00D50E91" w:rsidRDefault="005B415B" w:rsidP="00C65880">
            <w:pPr>
              <w:autoSpaceDE w:val="0"/>
              <w:ind w:left="56" w:right="56"/>
              <w:jc w:val="center"/>
            </w:pPr>
          </w:p>
        </w:tc>
      </w:tr>
      <w:tr w:rsidR="005B415B" w:rsidRPr="00D50E91" w:rsidTr="00C65880">
        <w:tc>
          <w:tcPr>
            <w:tcW w:w="562" w:type="dxa"/>
          </w:tcPr>
          <w:p w:rsidR="005B415B" w:rsidRPr="00D50E91" w:rsidRDefault="005B415B" w:rsidP="00C65880">
            <w:pPr>
              <w:autoSpaceDE w:val="0"/>
              <w:ind w:left="56" w:right="56"/>
              <w:jc w:val="center"/>
            </w:pPr>
            <w:r w:rsidRPr="00D50E91">
              <w:rPr>
                <w:sz w:val="20"/>
                <w:szCs w:val="20"/>
              </w:rPr>
              <w:t xml:space="preserve"> 5</w:t>
            </w:r>
          </w:p>
        </w:tc>
        <w:tc>
          <w:tcPr>
            <w:tcW w:w="8504" w:type="dxa"/>
          </w:tcPr>
          <w:p w:rsidR="00E651AC" w:rsidRPr="00D50E91" w:rsidRDefault="00E651AC" w:rsidP="00C65880">
            <w:pPr>
              <w:autoSpaceDE w:val="0"/>
              <w:ind w:left="56" w:right="56"/>
              <w:jc w:val="center"/>
              <w:rPr>
                <w:sz w:val="20"/>
                <w:szCs w:val="20"/>
              </w:rPr>
            </w:pPr>
          </w:p>
          <w:p w:rsidR="005B415B" w:rsidRPr="00D50E91" w:rsidRDefault="005B415B" w:rsidP="00C65880">
            <w:pPr>
              <w:autoSpaceDE w:val="0"/>
              <w:ind w:left="56" w:right="56"/>
              <w:jc w:val="center"/>
              <w:rPr>
                <w:sz w:val="20"/>
                <w:szCs w:val="20"/>
              </w:rPr>
            </w:pPr>
            <w:r w:rsidRPr="00D50E91">
              <w:rPr>
                <w:sz w:val="20"/>
                <w:szCs w:val="20"/>
              </w:rPr>
              <w:t xml:space="preserve"> előkészítéssel vagy azzal sem menthetők</w:t>
            </w:r>
          </w:p>
          <w:p w:rsidR="00E651AC" w:rsidRPr="00D50E91" w:rsidRDefault="00E651AC" w:rsidP="00C65880">
            <w:pPr>
              <w:autoSpaceDE w:val="0"/>
              <w:ind w:left="56" w:right="56"/>
              <w:jc w:val="center"/>
            </w:pPr>
          </w:p>
        </w:tc>
        <w:tc>
          <w:tcPr>
            <w:tcW w:w="2268" w:type="dxa"/>
          </w:tcPr>
          <w:p w:rsidR="00E651AC" w:rsidRPr="00D50E91" w:rsidRDefault="00E651AC" w:rsidP="00C65880">
            <w:pPr>
              <w:autoSpaceDE w:val="0"/>
              <w:ind w:left="56" w:right="56"/>
              <w:jc w:val="center"/>
              <w:rPr>
                <w:sz w:val="20"/>
                <w:szCs w:val="20"/>
              </w:rPr>
            </w:pPr>
          </w:p>
          <w:p w:rsidR="005B415B" w:rsidRPr="00D50E91" w:rsidRDefault="005B415B" w:rsidP="00C65880">
            <w:pPr>
              <w:autoSpaceDE w:val="0"/>
              <w:ind w:left="56" w:right="56"/>
              <w:jc w:val="center"/>
              <w:rPr>
                <w:sz w:val="20"/>
                <w:szCs w:val="20"/>
              </w:rPr>
            </w:pPr>
            <w:r w:rsidRPr="00D50E91">
              <w:rPr>
                <w:sz w:val="20"/>
                <w:szCs w:val="20"/>
              </w:rPr>
              <w:t>5 főig KK, afelett MK</w:t>
            </w:r>
          </w:p>
          <w:p w:rsidR="00E651AC" w:rsidRPr="00D50E91" w:rsidRDefault="00E651AC" w:rsidP="00C65880">
            <w:pPr>
              <w:autoSpaceDE w:val="0"/>
              <w:ind w:left="56" w:right="56"/>
              <w:jc w:val="center"/>
            </w:pPr>
          </w:p>
        </w:tc>
      </w:tr>
    </w:tbl>
    <w:p w:rsidR="005B415B" w:rsidRPr="00D50E91" w:rsidRDefault="005B415B" w:rsidP="00595B18">
      <w:pPr>
        <w:jc w:val="both"/>
      </w:pPr>
    </w:p>
    <w:p w:rsidR="005B415B" w:rsidRPr="00D50E91" w:rsidRDefault="005B415B" w:rsidP="00595B18">
      <w:pPr>
        <w:jc w:val="both"/>
      </w:pPr>
    </w:p>
    <w:p w:rsidR="005B415B" w:rsidRPr="00D50E91" w:rsidRDefault="005B415B" w:rsidP="00B36D4C">
      <w:pPr>
        <w:rPr>
          <w:b/>
          <w:bCs/>
          <w:sz w:val="20"/>
          <w:szCs w:val="20"/>
        </w:rPr>
      </w:pPr>
      <w:r w:rsidRPr="00D50E91">
        <w:rPr>
          <w:b/>
          <w:bCs/>
          <w:sz w:val="20"/>
          <w:szCs w:val="20"/>
        </w:rPr>
        <w:t>3. táblázat, A kockázat meghatározása alcímhez</w:t>
      </w:r>
    </w:p>
    <w:p w:rsidR="005B415B" w:rsidRPr="00D50E91" w:rsidRDefault="005B415B" w:rsidP="00595B18">
      <w:pPr>
        <w:jc w:val="both"/>
      </w:pPr>
    </w:p>
    <w:tbl>
      <w:tblPr>
        <w:tblW w:w="1376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0"/>
        <w:gridCol w:w="7135"/>
        <w:gridCol w:w="19"/>
        <w:gridCol w:w="3803"/>
        <w:gridCol w:w="2102"/>
      </w:tblGrid>
      <w:tr w:rsidR="005B415B" w:rsidRPr="00D50E91" w:rsidTr="00C65880">
        <w:tc>
          <w:tcPr>
            <w:tcW w:w="710" w:type="dxa"/>
          </w:tcPr>
          <w:p w:rsidR="005B415B" w:rsidRPr="00D50E91" w:rsidRDefault="005B415B" w:rsidP="00C65880">
            <w:pPr>
              <w:autoSpaceDE w:val="0"/>
            </w:pPr>
          </w:p>
        </w:tc>
        <w:tc>
          <w:tcPr>
            <w:tcW w:w="10957" w:type="dxa"/>
            <w:gridSpan w:val="3"/>
          </w:tcPr>
          <w:p w:rsidR="005B415B" w:rsidRPr="00D50E91" w:rsidRDefault="005B415B" w:rsidP="00C65880">
            <w:pPr>
              <w:autoSpaceDE w:val="0"/>
              <w:ind w:left="56" w:right="56"/>
              <w:jc w:val="center"/>
            </w:pPr>
            <w:r w:rsidRPr="00D50E91">
              <w:rPr>
                <w:sz w:val="20"/>
                <w:szCs w:val="20"/>
              </w:rPr>
              <w:t xml:space="preserve"> A</w:t>
            </w:r>
          </w:p>
        </w:tc>
        <w:tc>
          <w:tcPr>
            <w:tcW w:w="2102" w:type="dxa"/>
          </w:tcPr>
          <w:p w:rsidR="005B415B" w:rsidRPr="00D50E91" w:rsidRDefault="005B415B" w:rsidP="00C65880">
            <w:pPr>
              <w:autoSpaceDE w:val="0"/>
              <w:ind w:left="56" w:right="56"/>
              <w:jc w:val="center"/>
            </w:pPr>
            <w:r w:rsidRPr="00D50E91">
              <w:rPr>
                <w:sz w:val="20"/>
                <w:szCs w:val="20"/>
              </w:rPr>
              <w:t xml:space="preserve"> B</w:t>
            </w:r>
          </w:p>
        </w:tc>
      </w:tr>
      <w:tr w:rsidR="005B415B" w:rsidRPr="00D50E91" w:rsidTr="00C65880">
        <w:tc>
          <w:tcPr>
            <w:tcW w:w="710" w:type="dxa"/>
          </w:tcPr>
          <w:p w:rsidR="005B415B" w:rsidRPr="00D50E91" w:rsidRDefault="00151389" w:rsidP="00107BB1">
            <w:pPr>
              <w:autoSpaceDE w:val="0"/>
              <w:ind w:left="56" w:right="56"/>
              <w:jc w:val="center"/>
            </w:pPr>
            <w:r w:rsidRPr="00D50E91">
              <w:rPr>
                <w:sz w:val="20"/>
                <w:szCs w:val="20"/>
              </w:rPr>
              <w:t xml:space="preserve"> </w:t>
            </w:r>
            <w:r w:rsidR="005B415B" w:rsidRPr="00D50E91">
              <w:rPr>
                <w:sz w:val="20"/>
                <w:szCs w:val="20"/>
              </w:rPr>
              <w:t>1</w:t>
            </w:r>
          </w:p>
        </w:tc>
        <w:tc>
          <w:tcPr>
            <w:tcW w:w="10957" w:type="dxa"/>
            <w:gridSpan w:val="3"/>
          </w:tcPr>
          <w:p w:rsidR="005B415B" w:rsidRPr="00D50E91" w:rsidRDefault="005B415B" w:rsidP="00107BB1">
            <w:pPr>
              <w:autoSpaceDE w:val="0"/>
              <w:ind w:left="56" w:right="56"/>
              <w:jc w:val="center"/>
              <w:rPr>
                <w:b/>
              </w:rPr>
            </w:pPr>
            <w:r w:rsidRPr="00D50E91">
              <w:rPr>
                <w:b/>
                <w:sz w:val="20"/>
                <w:szCs w:val="20"/>
              </w:rPr>
              <w:t>Tárolási alaprendeltetésű kockázati egység tárolóhelyiségében tárolt anyagok, termékek, tárgyak jellemzői</w:t>
            </w:r>
          </w:p>
        </w:tc>
        <w:tc>
          <w:tcPr>
            <w:tcW w:w="2102" w:type="dxa"/>
          </w:tcPr>
          <w:p w:rsidR="005B415B" w:rsidRPr="00D50E91" w:rsidRDefault="005B415B" w:rsidP="00107BB1">
            <w:pPr>
              <w:autoSpaceDE w:val="0"/>
              <w:ind w:left="56" w:right="56"/>
              <w:jc w:val="center"/>
              <w:rPr>
                <w:b/>
              </w:rPr>
            </w:pPr>
            <w:r w:rsidRPr="00D50E91">
              <w:rPr>
                <w:b/>
                <w:sz w:val="20"/>
                <w:szCs w:val="20"/>
              </w:rPr>
              <w:t>A kockázati egység kockázata</w:t>
            </w:r>
          </w:p>
        </w:tc>
      </w:tr>
      <w:tr w:rsidR="005B415B" w:rsidRPr="00D50E91" w:rsidTr="00C65880">
        <w:tc>
          <w:tcPr>
            <w:tcW w:w="710" w:type="dxa"/>
          </w:tcPr>
          <w:p w:rsidR="005B415B" w:rsidRPr="00D50E91" w:rsidRDefault="005B415B" w:rsidP="00C65880">
            <w:pPr>
              <w:autoSpaceDE w:val="0"/>
              <w:ind w:left="56" w:right="56"/>
              <w:jc w:val="center"/>
            </w:pPr>
            <w:r w:rsidRPr="00D50E91">
              <w:rPr>
                <w:sz w:val="20"/>
                <w:szCs w:val="20"/>
              </w:rPr>
              <w:t xml:space="preserve"> 2</w:t>
            </w:r>
          </w:p>
        </w:tc>
        <w:tc>
          <w:tcPr>
            <w:tcW w:w="10957" w:type="dxa"/>
            <w:gridSpan w:val="3"/>
          </w:tcPr>
          <w:p w:rsidR="005B415B" w:rsidRPr="00D50E91" w:rsidRDefault="005B415B" w:rsidP="00C65880">
            <w:pPr>
              <w:autoSpaceDE w:val="0"/>
              <w:ind w:left="56" w:right="56"/>
            </w:pPr>
            <w:r w:rsidRPr="00D50E91">
              <w:rPr>
                <w:sz w:val="20"/>
                <w:szCs w:val="20"/>
              </w:rPr>
              <w:t xml:space="preserve"> Kizárólag nem tűzveszélyes osztályba tartozó anyag és csak ilyen anyagból készített termék, tárgy; éghető anyagú csomagolás, tárolóeszköz nélkül</w:t>
            </w:r>
          </w:p>
        </w:tc>
        <w:tc>
          <w:tcPr>
            <w:tcW w:w="2102" w:type="dxa"/>
          </w:tcPr>
          <w:p w:rsidR="005B415B" w:rsidRPr="00D50E91" w:rsidRDefault="005B415B" w:rsidP="00C65880">
            <w:pPr>
              <w:autoSpaceDE w:val="0"/>
              <w:ind w:left="56" w:right="56"/>
              <w:jc w:val="center"/>
            </w:pPr>
            <w:r w:rsidRPr="00D50E91">
              <w:rPr>
                <w:sz w:val="20"/>
                <w:szCs w:val="20"/>
              </w:rPr>
              <w:t xml:space="preserve"> NAK</w:t>
            </w:r>
          </w:p>
        </w:tc>
      </w:tr>
      <w:tr w:rsidR="005B415B" w:rsidRPr="00D50E91" w:rsidTr="00C65880">
        <w:trPr>
          <w:trHeight w:val="604"/>
        </w:trPr>
        <w:tc>
          <w:tcPr>
            <w:tcW w:w="710" w:type="dxa"/>
          </w:tcPr>
          <w:p w:rsidR="005B415B" w:rsidRPr="00D50E91" w:rsidRDefault="005B415B" w:rsidP="00C65880">
            <w:pPr>
              <w:autoSpaceDE w:val="0"/>
              <w:ind w:left="56" w:right="56"/>
              <w:jc w:val="center"/>
            </w:pPr>
            <w:r w:rsidRPr="00D50E91">
              <w:rPr>
                <w:sz w:val="20"/>
                <w:szCs w:val="20"/>
              </w:rPr>
              <w:t xml:space="preserve"> 3</w:t>
            </w:r>
          </w:p>
        </w:tc>
        <w:tc>
          <w:tcPr>
            <w:tcW w:w="7154" w:type="dxa"/>
            <w:gridSpan w:val="2"/>
            <w:vMerge w:val="restart"/>
          </w:tcPr>
          <w:p w:rsidR="005B415B" w:rsidRPr="00D50E91" w:rsidRDefault="005B415B" w:rsidP="00E651AC">
            <w:pPr>
              <w:autoSpaceDE w:val="0"/>
              <w:ind w:left="56" w:right="56"/>
            </w:pPr>
            <w:r w:rsidRPr="00D50E91">
              <w:rPr>
                <w:sz w:val="20"/>
                <w:szCs w:val="20"/>
              </w:rPr>
              <w:t>Mérsékelten tűzveszélyes és nem tűzveszélyes osztályba tartozó anyagok és ilyen anyagból készített termék, tárgy a mennyiségtől és a csomagolás tűzvédelmi jellemzőitől függetlenül, és/vagy tárolóhelyiségenként legfeljebb 300 liter vagy kg (a továbbiakban: l/kg) mennyiségű fokozottan tűz</w:t>
            </w:r>
            <w:r w:rsidR="003528A8">
              <w:rPr>
                <w:sz w:val="20"/>
                <w:szCs w:val="20"/>
              </w:rPr>
              <w:t>-</w:t>
            </w:r>
            <w:r w:rsidRPr="00D50E91">
              <w:rPr>
                <w:sz w:val="20"/>
                <w:szCs w:val="20"/>
              </w:rPr>
              <w:t xml:space="preserve"> vagy robbanásveszélyes anyag</w:t>
            </w:r>
          </w:p>
        </w:tc>
        <w:tc>
          <w:tcPr>
            <w:tcW w:w="3803" w:type="dxa"/>
          </w:tcPr>
          <w:p w:rsidR="005B415B" w:rsidRPr="00D50E91" w:rsidRDefault="005B415B" w:rsidP="00C65880">
            <w:pPr>
              <w:autoSpaceDE w:val="0"/>
              <w:ind w:left="56" w:right="56"/>
            </w:pPr>
            <w:r w:rsidRPr="00D50E91">
              <w:rPr>
                <w:sz w:val="20"/>
                <w:szCs w:val="20"/>
              </w:rPr>
              <w:t>a fokozottan tűz</w:t>
            </w:r>
            <w:r w:rsidR="003528A8">
              <w:rPr>
                <w:sz w:val="20"/>
                <w:szCs w:val="20"/>
              </w:rPr>
              <w:t>-</w:t>
            </w:r>
            <w:r w:rsidRPr="00D50E91">
              <w:rPr>
                <w:sz w:val="20"/>
                <w:szCs w:val="20"/>
              </w:rPr>
              <w:t xml:space="preserve"> vagy robbanásveszélyes anyag passzív tárolása esetén</w:t>
            </w:r>
          </w:p>
        </w:tc>
        <w:tc>
          <w:tcPr>
            <w:tcW w:w="2102" w:type="dxa"/>
          </w:tcPr>
          <w:p w:rsidR="005B415B" w:rsidRPr="00D50E91" w:rsidRDefault="005B415B" w:rsidP="00C65880">
            <w:pPr>
              <w:autoSpaceDE w:val="0"/>
              <w:ind w:left="56" w:right="56"/>
              <w:jc w:val="center"/>
            </w:pPr>
            <w:r w:rsidRPr="00D50E91">
              <w:rPr>
                <w:sz w:val="20"/>
                <w:szCs w:val="20"/>
              </w:rPr>
              <w:t xml:space="preserve">NAK </w:t>
            </w:r>
          </w:p>
        </w:tc>
      </w:tr>
      <w:tr w:rsidR="005B415B" w:rsidRPr="00D50E91" w:rsidTr="00E651AC">
        <w:trPr>
          <w:trHeight w:val="372"/>
        </w:trPr>
        <w:tc>
          <w:tcPr>
            <w:tcW w:w="710" w:type="dxa"/>
          </w:tcPr>
          <w:p w:rsidR="005B415B" w:rsidRPr="00D50E91" w:rsidRDefault="004F51FF" w:rsidP="00C65880">
            <w:pPr>
              <w:autoSpaceDE w:val="0"/>
              <w:ind w:left="56" w:right="56"/>
              <w:jc w:val="center"/>
            </w:pPr>
            <w:r w:rsidRPr="00D50E91">
              <w:rPr>
                <w:sz w:val="20"/>
                <w:szCs w:val="20"/>
              </w:rPr>
              <w:t xml:space="preserve"> </w:t>
            </w:r>
            <w:r w:rsidR="005B415B" w:rsidRPr="00D50E91">
              <w:rPr>
                <w:sz w:val="20"/>
                <w:szCs w:val="20"/>
              </w:rPr>
              <w:t>4</w:t>
            </w:r>
          </w:p>
        </w:tc>
        <w:tc>
          <w:tcPr>
            <w:tcW w:w="7154" w:type="dxa"/>
            <w:gridSpan w:val="2"/>
            <w:vMerge/>
          </w:tcPr>
          <w:p w:rsidR="005B415B" w:rsidRPr="00D50E91" w:rsidRDefault="005B415B" w:rsidP="00C65880">
            <w:pPr>
              <w:autoSpaceDE w:val="0"/>
              <w:snapToGrid w:val="0"/>
              <w:ind w:left="56" w:right="56"/>
              <w:rPr>
                <w:sz w:val="20"/>
                <w:szCs w:val="20"/>
              </w:rPr>
            </w:pPr>
          </w:p>
        </w:tc>
        <w:tc>
          <w:tcPr>
            <w:tcW w:w="3803" w:type="dxa"/>
          </w:tcPr>
          <w:p w:rsidR="005B415B" w:rsidRPr="00D50E91" w:rsidRDefault="005B415B" w:rsidP="00C65880">
            <w:pPr>
              <w:autoSpaceDE w:val="0"/>
              <w:ind w:left="56" w:right="56"/>
            </w:pPr>
            <w:r w:rsidRPr="00D50E91">
              <w:rPr>
                <w:sz w:val="20"/>
                <w:szCs w:val="20"/>
              </w:rPr>
              <w:t>egyéb esetben</w:t>
            </w:r>
          </w:p>
        </w:tc>
        <w:tc>
          <w:tcPr>
            <w:tcW w:w="2102" w:type="dxa"/>
          </w:tcPr>
          <w:p w:rsidR="005B415B" w:rsidRPr="00D50E91" w:rsidRDefault="005B415B" w:rsidP="00C65880">
            <w:pPr>
              <w:autoSpaceDE w:val="0"/>
              <w:ind w:left="56" w:right="56"/>
              <w:jc w:val="center"/>
            </w:pPr>
            <w:r w:rsidRPr="00D50E91">
              <w:rPr>
                <w:sz w:val="20"/>
                <w:szCs w:val="20"/>
              </w:rPr>
              <w:t>AK</w:t>
            </w:r>
          </w:p>
        </w:tc>
      </w:tr>
      <w:tr w:rsidR="005B415B" w:rsidRPr="00D50E91" w:rsidTr="00C65880">
        <w:trPr>
          <w:trHeight w:val="670"/>
        </w:trPr>
        <w:tc>
          <w:tcPr>
            <w:tcW w:w="710" w:type="dxa"/>
          </w:tcPr>
          <w:p w:rsidR="005B415B" w:rsidRPr="00D50E91" w:rsidRDefault="005B415B" w:rsidP="00C65880">
            <w:pPr>
              <w:autoSpaceDE w:val="0"/>
              <w:ind w:left="56" w:right="56"/>
              <w:jc w:val="center"/>
            </w:pPr>
            <w:r w:rsidRPr="00D50E91">
              <w:rPr>
                <w:sz w:val="20"/>
                <w:szCs w:val="20"/>
              </w:rPr>
              <w:t xml:space="preserve"> 5 </w:t>
            </w:r>
          </w:p>
        </w:tc>
        <w:tc>
          <w:tcPr>
            <w:tcW w:w="7154" w:type="dxa"/>
            <w:gridSpan w:val="2"/>
            <w:vMerge w:val="restart"/>
          </w:tcPr>
          <w:p w:rsidR="005B415B" w:rsidRPr="00D50E91" w:rsidRDefault="005B415B" w:rsidP="00E651AC">
            <w:pPr>
              <w:autoSpaceDE w:val="0"/>
              <w:ind w:left="56" w:right="56"/>
            </w:pPr>
            <w:r w:rsidRPr="00D50E91">
              <w:rPr>
                <w:sz w:val="20"/>
                <w:szCs w:val="20"/>
              </w:rPr>
              <w:t xml:space="preserve"> Mérsékelten tűzveszélyes és nem tűzveszélyes osztályba tartozó anyagok és ilyen anyagból készített termék, tárgy a mennyiségtől és a csomagolás tűzvédelmi jellemzőitől függetlenül, és/vagy tárolóhelyiségenként 300 l/kg</w:t>
            </w:r>
            <w:r w:rsidR="003528A8">
              <w:rPr>
                <w:sz w:val="20"/>
                <w:szCs w:val="20"/>
              </w:rPr>
              <w:t>-</w:t>
            </w:r>
            <w:r w:rsidRPr="00D50E91">
              <w:rPr>
                <w:sz w:val="20"/>
                <w:szCs w:val="20"/>
              </w:rPr>
              <w:t>nál nagyobb, de legfeljebb 3.000 l/kg mennyiségben fokozottan tűz</w:t>
            </w:r>
            <w:r w:rsidR="003528A8">
              <w:rPr>
                <w:sz w:val="20"/>
                <w:szCs w:val="20"/>
              </w:rPr>
              <w:t>-</w:t>
            </w:r>
            <w:r w:rsidRPr="00D50E91">
              <w:rPr>
                <w:sz w:val="20"/>
                <w:szCs w:val="20"/>
              </w:rPr>
              <w:t xml:space="preserve"> vagy robbanásveszélyes osztályba tartozó anyag</w:t>
            </w:r>
          </w:p>
        </w:tc>
        <w:tc>
          <w:tcPr>
            <w:tcW w:w="3803" w:type="dxa"/>
          </w:tcPr>
          <w:p w:rsidR="005B415B" w:rsidRPr="00D50E91" w:rsidRDefault="005B415B" w:rsidP="00C65880">
            <w:pPr>
              <w:autoSpaceDE w:val="0"/>
              <w:ind w:left="56" w:right="56"/>
            </w:pPr>
            <w:r w:rsidRPr="00D50E91">
              <w:rPr>
                <w:sz w:val="20"/>
                <w:szCs w:val="20"/>
              </w:rPr>
              <w:t>a fokozottan tűz</w:t>
            </w:r>
            <w:r w:rsidR="003528A8">
              <w:rPr>
                <w:sz w:val="20"/>
                <w:szCs w:val="20"/>
              </w:rPr>
              <w:t>-</w:t>
            </w:r>
            <w:r w:rsidRPr="00D50E91">
              <w:rPr>
                <w:sz w:val="20"/>
                <w:szCs w:val="20"/>
              </w:rPr>
              <w:t xml:space="preserve"> vagy robbanásveszélyes anyag passzív tárolása esetén</w:t>
            </w:r>
          </w:p>
        </w:tc>
        <w:tc>
          <w:tcPr>
            <w:tcW w:w="2102" w:type="dxa"/>
          </w:tcPr>
          <w:p w:rsidR="005B415B" w:rsidRPr="00D50E91" w:rsidRDefault="005B415B" w:rsidP="00C65880">
            <w:pPr>
              <w:autoSpaceDE w:val="0"/>
              <w:ind w:left="56" w:right="56"/>
              <w:jc w:val="center"/>
              <w:rPr>
                <w:sz w:val="20"/>
                <w:szCs w:val="20"/>
              </w:rPr>
            </w:pPr>
            <w:r w:rsidRPr="00D50E91">
              <w:rPr>
                <w:sz w:val="20"/>
                <w:szCs w:val="20"/>
              </w:rPr>
              <w:t>AK</w:t>
            </w:r>
          </w:p>
        </w:tc>
      </w:tr>
      <w:tr w:rsidR="005B415B" w:rsidRPr="00D50E91" w:rsidTr="00C65880">
        <w:trPr>
          <w:trHeight w:val="495"/>
        </w:trPr>
        <w:tc>
          <w:tcPr>
            <w:tcW w:w="710" w:type="dxa"/>
          </w:tcPr>
          <w:p w:rsidR="005B415B" w:rsidRPr="00D50E91" w:rsidRDefault="004F51FF" w:rsidP="00C65880">
            <w:pPr>
              <w:autoSpaceDE w:val="0"/>
              <w:ind w:left="56" w:right="56"/>
              <w:jc w:val="center"/>
            </w:pPr>
            <w:r w:rsidRPr="00D50E91">
              <w:rPr>
                <w:sz w:val="20"/>
                <w:szCs w:val="20"/>
              </w:rPr>
              <w:t xml:space="preserve"> </w:t>
            </w:r>
            <w:r w:rsidR="005B415B" w:rsidRPr="00D50E91">
              <w:rPr>
                <w:sz w:val="20"/>
                <w:szCs w:val="20"/>
              </w:rPr>
              <w:t>6</w:t>
            </w:r>
          </w:p>
        </w:tc>
        <w:tc>
          <w:tcPr>
            <w:tcW w:w="7154" w:type="dxa"/>
            <w:gridSpan w:val="2"/>
            <w:vMerge/>
          </w:tcPr>
          <w:p w:rsidR="005B415B" w:rsidRPr="00D50E91" w:rsidRDefault="005B415B" w:rsidP="00C65880">
            <w:pPr>
              <w:autoSpaceDE w:val="0"/>
              <w:snapToGrid w:val="0"/>
              <w:ind w:left="56" w:right="56"/>
              <w:rPr>
                <w:sz w:val="20"/>
                <w:szCs w:val="20"/>
              </w:rPr>
            </w:pPr>
          </w:p>
        </w:tc>
        <w:tc>
          <w:tcPr>
            <w:tcW w:w="3803" w:type="dxa"/>
          </w:tcPr>
          <w:p w:rsidR="005B415B" w:rsidRPr="00D50E91" w:rsidRDefault="005B415B" w:rsidP="00C65880">
            <w:pPr>
              <w:autoSpaceDE w:val="0"/>
              <w:ind w:left="56" w:right="56"/>
            </w:pPr>
            <w:r w:rsidRPr="00D50E91">
              <w:rPr>
                <w:sz w:val="20"/>
                <w:szCs w:val="20"/>
              </w:rPr>
              <w:t>egyéb esetben</w:t>
            </w:r>
          </w:p>
        </w:tc>
        <w:tc>
          <w:tcPr>
            <w:tcW w:w="2102" w:type="dxa"/>
          </w:tcPr>
          <w:p w:rsidR="005B415B" w:rsidRPr="00D50E91" w:rsidRDefault="005B415B" w:rsidP="00C65880">
            <w:pPr>
              <w:autoSpaceDE w:val="0"/>
              <w:ind w:left="56" w:right="56"/>
              <w:jc w:val="center"/>
            </w:pPr>
            <w:r w:rsidRPr="00D50E91">
              <w:rPr>
                <w:sz w:val="20"/>
                <w:szCs w:val="20"/>
              </w:rPr>
              <w:t>KK</w:t>
            </w:r>
          </w:p>
        </w:tc>
      </w:tr>
      <w:tr w:rsidR="005B415B" w:rsidRPr="00D50E91" w:rsidTr="00C65880">
        <w:trPr>
          <w:trHeight w:val="275"/>
        </w:trPr>
        <w:tc>
          <w:tcPr>
            <w:tcW w:w="710" w:type="dxa"/>
          </w:tcPr>
          <w:p w:rsidR="005B415B" w:rsidRPr="00D50E91" w:rsidRDefault="005B415B" w:rsidP="00C65880">
            <w:pPr>
              <w:autoSpaceDE w:val="0"/>
              <w:ind w:left="56" w:right="56"/>
              <w:jc w:val="center"/>
            </w:pPr>
            <w:r w:rsidRPr="00D50E91">
              <w:rPr>
                <w:sz w:val="20"/>
                <w:szCs w:val="20"/>
              </w:rPr>
              <w:t xml:space="preserve"> 7 </w:t>
            </w:r>
          </w:p>
        </w:tc>
        <w:tc>
          <w:tcPr>
            <w:tcW w:w="7154" w:type="dxa"/>
            <w:gridSpan w:val="2"/>
            <w:vMerge w:val="restart"/>
          </w:tcPr>
          <w:p w:rsidR="005B415B" w:rsidRPr="00D50E91" w:rsidRDefault="005B415B" w:rsidP="00C65880">
            <w:pPr>
              <w:autoSpaceDE w:val="0"/>
              <w:ind w:left="56" w:right="56"/>
            </w:pPr>
            <w:r w:rsidRPr="00D50E91">
              <w:rPr>
                <w:sz w:val="20"/>
                <w:szCs w:val="20"/>
              </w:rPr>
              <w:t xml:space="preserve"> Mérsékelten tűzveszélyes és nem tűzveszélyes anyagok és ilyen anyagból készített termék, tárgy a mennyiségtől és a csomagolás tűzvédelmi jellemzőitől függetlenül, és/vagy tárolóhelyiségenként 3.000 l/kg</w:t>
            </w:r>
            <w:r w:rsidR="003528A8">
              <w:rPr>
                <w:sz w:val="20"/>
                <w:szCs w:val="20"/>
              </w:rPr>
              <w:t>-</w:t>
            </w:r>
            <w:r w:rsidRPr="00D50E91">
              <w:rPr>
                <w:sz w:val="20"/>
                <w:szCs w:val="20"/>
              </w:rPr>
              <w:t>nál nagyobb mennyiségben fokozottan tűz</w:t>
            </w:r>
            <w:r w:rsidR="003528A8">
              <w:rPr>
                <w:sz w:val="20"/>
                <w:szCs w:val="20"/>
              </w:rPr>
              <w:t>-</w:t>
            </w:r>
            <w:r w:rsidRPr="00D50E91">
              <w:rPr>
                <w:sz w:val="20"/>
                <w:szCs w:val="20"/>
              </w:rPr>
              <w:t xml:space="preserve"> vagy robbanásveszélyes anyag</w:t>
            </w:r>
          </w:p>
        </w:tc>
        <w:tc>
          <w:tcPr>
            <w:tcW w:w="3803" w:type="dxa"/>
          </w:tcPr>
          <w:p w:rsidR="005B415B" w:rsidRPr="00D50E91" w:rsidRDefault="005B415B" w:rsidP="00C65880">
            <w:pPr>
              <w:autoSpaceDE w:val="0"/>
              <w:ind w:left="56" w:right="56"/>
            </w:pPr>
            <w:r w:rsidRPr="00D50E91">
              <w:rPr>
                <w:sz w:val="20"/>
                <w:szCs w:val="20"/>
              </w:rPr>
              <w:t>a fokozottan tűz</w:t>
            </w:r>
            <w:r w:rsidR="003528A8">
              <w:rPr>
                <w:sz w:val="20"/>
                <w:szCs w:val="20"/>
              </w:rPr>
              <w:t>-</w:t>
            </w:r>
            <w:r w:rsidRPr="00D50E91">
              <w:rPr>
                <w:sz w:val="20"/>
                <w:szCs w:val="20"/>
              </w:rPr>
              <w:t xml:space="preserve"> vagy robbanásveszélyes anyag passzív tárolása esetén</w:t>
            </w:r>
          </w:p>
        </w:tc>
        <w:tc>
          <w:tcPr>
            <w:tcW w:w="2102" w:type="dxa"/>
          </w:tcPr>
          <w:p w:rsidR="005B415B" w:rsidRPr="00D50E91" w:rsidRDefault="005B415B" w:rsidP="00C65880">
            <w:pPr>
              <w:autoSpaceDE w:val="0"/>
              <w:ind w:left="56" w:right="56"/>
              <w:jc w:val="center"/>
            </w:pPr>
            <w:r w:rsidRPr="00D50E91">
              <w:rPr>
                <w:sz w:val="20"/>
                <w:szCs w:val="20"/>
              </w:rPr>
              <w:t xml:space="preserve"> KK</w:t>
            </w:r>
          </w:p>
        </w:tc>
      </w:tr>
      <w:tr w:rsidR="005B415B" w:rsidRPr="00D50E91" w:rsidTr="00C65880">
        <w:trPr>
          <w:trHeight w:val="418"/>
        </w:trPr>
        <w:tc>
          <w:tcPr>
            <w:tcW w:w="710" w:type="dxa"/>
          </w:tcPr>
          <w:p w:rsidR="005B415B" w:rsidRPr="00D50E91" w:rsidRDefault="004F51FF" w:rsidP="00C65880">
            <w:pPr>
              <w:autoSpaceDE w:val="0"/>
              <w:ind w:left="56" w:right="56"/>
              <w:jc w:val="center"/>
            </w:pPr>
            <w:r w:rsidRPr="00D50E91">
              <w:rPr>
                <w:sz w:val="20"/>
                <w:szCs w:val="20"/>
              </w:rPr>
              <w:t xml:space="preserve"> </w:t>
            </w:r>
            <w:r w:rsidR="005B415B" w:rsidRPr="00D50E91">
              <w:rPr>
                <w:sz w:val="20"/>
                <w:szCs w:val="20"/>
              </w:rPr>
              <w:t>8</w:t>
            </w:r>
          </w:p>
        </w:tc>
        <w:tc>
          <w:tcPr>
            <w:tcW w:w="7154" w:type="dxa"/>
            <w:gridSpan w:val="2"/>
            <w:vMerge/>
          </w:tcPr>
          <w:p w:rsidR="005B415B" w:rsidRPr="00D50E91" w:rsidRDefault="005B415B" w:rsidP="00C65880">
            <w:pPr>
              <w:autoSpaceDE w:val="0"/>
              <w:snapToGrid w:val="0"/>
              <w:ind w:left="56" w:right="56"/>
              <w:rPr>
                <w:sz w:val="20"/>
                <w:szCs w:val="20"/>
              </w:rPr>
            </w:pPr>
          </w:p>
        </w:tc>
        <w:tc>
          <w:tcPr>
            <w:tcW w:w="3803" w:type="dxa"/>
          </w:tcPr>
          <w:p w:rsidR="005B415B" w:rsidRPr="00D50E91" w:rsidRDefault="005B415B" w:rsidP="00C65880">
            <w:pPr>
              <w:autoSpaceDE w:val="0"/>
              <w:ind w:left="56" w:right="56"/>
            </w:pPr>
            <w:r w:rsidRPr="00D50E91">
              <w:rPr>
                <w:sz w:val="20"/>
                <w:szCs w:val="20"/>
              </w:rPr>
              <w:t>egyéb esetben</w:t>
            </w:r>
          </w:p>
        </w:tc>
        <w:tc>
          <w:tcPr>
            <w:tcW w:w="2102" w:type="dxa"/>
          </w:tcPr>
          <w:p w:rsidR="005B415B" w:rsidRPr="00D50E91" w:rsidRDefault="005B415B" w:rsidP="00C65880">
            <w:pPr>
              <w:autoSpaceDE w:val="0"/>
              <w:ind w:left="56" w:right="56"/>
              <w:jc w:val="center"/>
            </w:pPr>
            <w:r w:rsidRPr="00D50E91">
              <w:rPr>
                <w:sz w:val="20"/>
                <w:szCs w:val="20"/>
              </w:rPr>
              <w:t>MK</w:t>
            </w:r>
          </w:p>
        </w:tc>
      </w:tr>
      <w:tr w:rsidR="005B415B" w:rsidRPr="00D50E91" w:rsidTr="00C65880">
        <w:trPr>
          <w:trHeight w:val="166"/>
        </w:trPr>
        <w:tc>
          <w:tcPr>
            <w:tcW w:w="710" w:type="dxa"/>
          </w:tcPr>
          <w:p w:rsidR="005B415B" w:rsidRPr="00D50E91" w:rsidRDefault="004F51FF" w:rsidP="00C65880">
            <w:pPr>
              <w:autoSpaceDE w:val="0"/>
              <w:ind w:left="56" w:right="56"/>
              <w:jc w:val="center"/>
            </w:pPr>
            <w:r w:rsidRPr="00D50E91">
              <w:rPr>
                <w:sz w:val="20"/>
                <w:szCs w:val="20"/>
              </w:rPr>
              <w:t xml:space="preserve"> </w:t>
            </w:r>
            <w:r w:rsidR="005B415B" w:rsidRPr="00D50E91">
              <w:rPr>
                <w:sz w:val="20"/>
                <w:szCs w:val="20"/>
              </w:rPr>
              <w:t xml:space="preserve">9 </w:t>
            </w:r>
          </w:p>
        </w:tc>
        <w:tc>
          <w:tcPr>
            <w:tcW w:w="7135" w:type="dxa"/>
            <w:vMerge w:val="restart"/>
          </w:tcPr>
          <w:p w:rsidR="005B415B" w:rsidRPr="00D50E91" w:rsidRDefault="004F51FF" w:rsidP="00C65880">
            <w:pPr>
              <w:autoSpaceDE w:val="0"/>
              <w:ind w:left="56" w:right="56"/>
              <w:rPr>
                <w:sz w:val="20"/>
                <w:szCs w:val="20"/>
              </w:rPr>
            </w:pPr>
            <w:r w:rsidRPr="00D50E91">
              <w:rPr>
                <w:sz w:val="20"/>
                <w:szCs w:val="20"/>
              </w:rPr>
              <w:t xml:space="preserve"> </w:t>
            </w:r>
            <w:r w:rsidR="005B415B" w:rsidRPr="00D50E91">
              <w:rPr>
                <w:sz w:val="20"/>
                <w:szCs w:val="20"/>
              </w:rPr>
              <w:t>Gázpalacktároló</w:t>
            </w:r>
          </w:p>
          <w:p w:rsidR="005B415B" w:rsidRPr="00D50E91" w:rsidRDefault="005B415B" w:rsidP="00C65880">
            <w:pPr>
              <w:autoSpaceDE w:val="0"/>
              <w:ind w:left="56" w:right="56"/>
              <w:jc w:val="center"/>
              <w:rPr>
                <w:sz w:val="20"/>
                <w:szCs w:val="20"/>
              </w:rPr>
            </w:pPr>
          </w:p>
          <w:p w:rsidR="005B415B" w:rsidRPr="00D50E91" w:rsidRDefault="005B415B" w:rsidP="00C65880">
            <w:pPr>
              <w:autoSpaceDE w:val="0"/>
              <w:ind w:left="56" w:right="56"/>
              <w:jc w:val="center"/>
            </w:pPr>
          </w:p>
        </w:tc>
        <w:tc>
          <w:tcPr>
            <w:tcW w:w="3822" w:type="dxa"/>
            <w:gridSpan w:val="2"/>
          </w:tcPr>
          <w:p w:rsidR="005B415B" w:rsidRPr="00D50E91" w:rsidRDefault="005B415B" w:rsidP="00C65880">
            <w:pPr>
              <w:autoSpaceDE w:val="0"/>
              <w:ind w:left="56" w:right="56"/>
            </w:pPr>
            <w:r w:rsidRPr="00D50E91">
              <w:rPr>
                <w:sz w:val="20"/>
                <w:szCs w:val="20"/>
              </w:rPr>
              <w:t xml:space="preserve"> kizárólag semleges és nem mérgező gázok </w:t>
            </w:r>
          </w:p>
        </w:tc>
        <w:tc>
          <w:tcPr>
            <w:tcW w:w="2102" w:type="dxa"/>
          </w:tcPr>
          <w:p w:rsidR="005B415B" w:rsidRPr="00D50E91" w:rsidRDefault="005B415B" w:rsidP="00C65880">
            <w:pPr>
              <w:autoSpaceDE w:val="0"/>
              <w:ind w:left="56" w:right="56"/>
              <w:jc w:val="center"/>
            </w:pPr>
            <w:r w:rsidRPr="00D50E91">
              <w:rPr>
                <w:sz w:val="20"/>
                <w:szCs w:val="20"/>
              </w:rPr>
              <w:t>NAK</w:t>
            </w:r>
          </w:p>
        </w:tc>
      </w:tr>
      <w:tr w:rsidR="005B415B" w:rsidRPr="00D50E91" w:rsidTr="00C65880">
        <w:trPr>
          <w:trHeight w:val="111"/>
        </w:trPr>
        <w:tc>
          <w:tcPr>
            <w:tcW w:w="710" w:type="dxa"/>
          </w:tcPr>
          <w:p w:rsidR="005B415B" w:rsidRPr="00D50E91" w:rsidRDefault="004F51FF" w:rsidP="00C65880">
            <w:pPr>
              <w:autoSpaceDE w:val="0"/>
              <w:ind w:left="56" w:right="56"/>
              <w:jc w:val="center"/>
            </w:pPr>
            <w:r w:rsidRPr="00D50E91">
              <w:rPr>
                <w:sz w:val="20"/>
                <w:szCs w:val="20"/>
              </w:rPr>
              <w:t xml:space="preserve"> </w:t>
            </w:r>
            <w:r w:rsidR="005B415B" w:rsidRPr="00D50E91">
              <w:rPr>
                <w:sz w:val="20"/>
                <w:szCs w:val="20"/>
              </w:rPr>
              <w:t>10</w:t>
            </w:r>
          </w:p>
        </w:tc>
        <w:tc>
          <w:tcPr>
            <w:tcW w:w="7135" w:type="dxa"/>
            <w:vMerge/>
          </w:tcPr>
          <w:p w:rsidR="005B415B" w:rsidRPr="00D50E91" w:rsidRDefault="005B415B" w:rsidP="00C65880">
            <w:pPr>
              <w:autoSpaceDE w:val="0"/>
              <w:snapToGrid w:val="0"/>
              <w:ind w:left="56" w:right="56"/>
              <w:rPr>
                <w:sz w:val="20"/>
                <w:szCs w:val="20"/>
              </w:rPr>
            </w:pPr>
          </w:p>
        </w:tc>
        <w:tc>
          <w:tcPr>
            <w:tcW w:w="3822" w:type="dxa"/>
            <w:gridSpan w:val="2"/>
          </w:tcPr>
          <w:p w:rsidR="005B415B" w:rsidRPr="00D50E91" w:rsidRDefault="005B415B" w:rsidP="00C65880">
            <w:pPr>
              <w:autoSpaceDE w:val="0"/>
              <w:ind w:left="56" w:right="56"/>
            </w:pPr>
            <w:r w:rsidRPr="00D50E91">
              <w:rPr>
                <w:sz w:val="20"/>
                <w:szCs w:val="20"/>
              </w:rPr>
              <w:t xml:space="preserve">éghető, oxidáló, mérgező gázok </w:t>
            </w:r>
          </w:p>
          <w:p w:rsidR="005B415B" w:rsidRPr="00D50E91" w:rsidRDefault="005B415B" w:rsidP="00C65880">
            <w:pPr>
              <w:autoSpaceDE w:val="0"/>
              <w:ind w:left="56" w:right="56"/>
              <w:rPr>
                <w:sz w:val="20"/>
                <w:szCs w:val="20"/>
              </w:rPr>
            </w:pPr>
            <w:r w:rsidRPr="00D50E91">
              <w:rPr>
                <w:sz w:val="20"/>
                <w:szCs w:val="20"/>
              </w:rPr>
              <w:t>legfeljebb 1000 kg gázmennyiségig</w:t>
            </w:r>
          </w:p>
        </w:tc>
        <w:tc>
          <w:tcPr>
            <w:tcW w:w="2102" w:type="dxa"/>
          </w:tcPr>
          <w:p w:rsidR="005B415B" w:rsidRPr="00D50E91" w:rsidRDefault="005B415B" w:rsidP="00C65880">
            <w:pPr>
              <w:autoSpaceDE w:val="0"/>
              <w:ind w:left="56" w:right="56"/>
              <w:jc w:val="center"/>
              <w:rPr>
                <w:sz w:val="20"/>
                <w:szCs w:val="20"/>
              </w:rPr>
            </w:pPr>
            <w:r w:rsidRPr="00D50E91">
              <w:rPr>
                <w:sz w:val="20"/>
                <w:szCs w:val="20"/>
              </w:rPr>
              <w:t>KK</w:t>
            </w:r>
          </w:p>
        </w:tc>
      </w:tr>
      <w:tr w:rsidR="005B415B" w:rsidRPr="00D50E91" w:rsidTr="00C65880">
        <w:trPr>
          <w:trHeight w:val="111"/>
        </w:trPr>
        <w:tc>
          <w:tcPr>
            <w:tcW w:w="710" w:type="dxa"/>
          </w:tcPr>
          <w:p w:rsidR="005B415B" w:rsidRPr="00D50E91" w:rsidRDefault="004F51FF" w:rsidP="00C65880">
            <w:pPr>
              <w:autoSpaceDE w:val="0"/>
              <w:ind w:left="56" w:right="56"/>
              <w:jc w:val="center"/>
            </w:pPr>
            <w:r w:rsidRPr="00D50E91">
              <w:rPr>
                <w:sz w:val="20"/>
                <w:szCs w:val="20"/>
              </w:rPr>
              <w:t xml:space="preserve"> </w:t>
            </w:r>
            <w:r w:rsidR="005B415B" w:rsidRPr="00D50E91">
              <w:rPr>
                <w:sz w:val="20"/>
                <w:szCs w:val="20"/>
              </w:rPr>
              <w:t>11</w:t>
            </w:r>
          </w:p>
        </w:tc>
        <w:tc>
          <w:tcPr>
            <w:tcW w:w="7135" w:type="dxa"/>
            <w:vMerge/>
          </w:tcPr>
          <w:p w:rsidR="005B415B" w:rsidRPr="00D50E91" w:rsidRDefault="005B415B" w:rsidP="00C65880">
            <w:pPr>
              <w:autoSpaceDE w:val="0"/>
              <w:snapToGrid w:val="0"/>
              <w:ind w:left="56" w:right="56"/>
              <w:rPr>
                <w:sz w:val="20"/>
                <w:szCs w:val="20"/>
              </w:rPr>
            </w:pPr>
          </w:p>
        </w:tc>
        <w:tc>
          <w:tcPr>
            <w:tcW w:w="3822" w:type="dxa"/>
            <w:gridSpan w:val="2"/>
          </w:tcPr>
          <w:p w:rsidR="005B415B" w:rsidRPr="00D50E91" w:rsidRDefault="005B415B" w:rsidP="00C65880">
            <w:pPr>
              <w:autoSpaceDE w:val="0"/>
              <w:ind w:left="56" w:right="56"/>
              <w:rPr>
                <w:sz w:val="20"/>
                <w:szCs w:val="20"/>
              </w:rPr>
            </w:pPr>
            <w:r w:rsidRPr="00D50E91">
              <w:rPr>
                <w:sz w:val="20"/>
                <w:szCs w:val="20"/>
              </w:rPr>
              <w:t>éghető, oxidáló, mérgező gázok, ha a gáz mennyisége meghaladja az 1000 kg</w:t>
            </w:r>
            <w:r w:rsidR="003528A8">
              <w:rPr>
                <w:sz w:val="20"/>
                <w:szCs w:val="20"/>
              </w:rPr>
              <w:t>-</w:t>
            </w:r>
            <w:r w:rsidRPr="00D50E91">
              <w:rPr>
                <w:sz w:val="20"/>
                <w:szCs w:val="20"/>
              </w:rPr>
              <w:t>ot</w:t>
            </w:r>
          </w:p>
        </w:tc>
        <w:tc>
          <w:tcPr>
            <w:tcW w:w="2102" w:type="dxa"/>
          </w:tcPr>
          <w:p w:rsidR="005B415B" w:rsidRPr="00D50E91" w:rsidRDefault="005B415B" w:rsidP="00C65880">
            <w:pPr>
              <w:autoSpaceDE w:val="0"/>
              <w:ind w:left="56" w:right="56"/>
              <w:jc w:val="center"/>
              <w:rPr>
                <w:sz w:val="20"/>
                <w:szCs w:val="20"/>
              </w:rPr>
            </w:pPr>
            <w:r w:rsidRPr="00D50E91">
              <w:rPr>
                <w:sz w:val="20"/>
                <w:szCs w:val="20"/>
              </w:rPr>
              <w:t>MK</w:t>
            </w:r>
          </w:p>
        </w:tc>
      </w:tr>
    </w:tbl>
    <w:p w:rsidR="005B415B" w:rsidRPr="00D50E91" w:rsidRDefault="005B415B" w:rsidP="00595B18">
      <w:pPr>
        <w:jc w:val="both"/>
      </w:pPr>
    </w:p>
    <w:p w:rsidR="005B415B" w:rsidRPr="00D50E91" w:rsidRDefault="005B415B" w:rsidP="00595B18">
      <w:pPr>
        <w:jc w:val="both"/>
      </w:pPr>
    </w:p>
    <w:p w:rsidR="005B415B" w:rsidRPr="00D50E91" w:rsidRDefault="005B415B" w:rsidP="00B36D4C">
      <w:pPr>
        <w:rPr>
          <w:b/>
          <w:bCs/>
          <w:sz w:val="20"/>
          <w:szCs w:val="20"/>
        </w:rPr>
      </w:pPr>
      <w:r w:rsidRPr="00D50E91">
        <w:rPr>
          <w:b/>
          <w:bCs/>
          <w:sz w:val="20"/>
          <w:szCs w:val="20"/>
        </w:rPr>
        <w:t>4. táblázat, A kockázat meghatározása alcímhez</w:t>
      </w:r>
    </w:p>
    <w:p w:rsidR="005B415B" w:rsidRPr="00D50E91" w:rsidRDefault="005B415B" w:rsidP="00595B18">
      <w:pPr>
        <w:jc w:val="both"/>
      </w:pPr>
    </w:p>
    <w:tbl>
      <w:tblPr>
        <w:tblW w:w="4617" w:type="pct"/>
        <w:tblLook w:val="0000" w:firstRow="0" w:lastRow="0" w:firstColumn="0" w:lastColumn="0" w:noHBand="0" w:noVBand="0"/>
      </w:tblPr>
      <w:tblGrid>
        <w:gridCol w:w="767"/>
        <w:gridCol w:w="3984"/>
        <w:gridCol w:w="3194"/>
        <w:gridCol w:w="3194"/>
        <w:gridCol w:w="2674"/>
      </w:tblGrid>
      <w:tr w:rsidR="004F51FF" w:rsidRPr="00D50E91" w:rsidTr="004F51FF">
        <w:trPr>
          <w:cantSplit/>
          <w:trHeight w:val="288"/>
        </w:trPr>
        <w:tc>
          <w:tcPr>
            <w:tcW w:w="278" w:type="pct"/>
            <w:tcBorders>
              <w:top w:val="single" w:sz="4" w:space="0" w:color="000000"/>
              <w:left w:val="single" w:sz="4" w:space="0" w:color="000000"/>
              <w:bottom w:val="single" w:sz="4" w:space="0" w:color="000000"/>
            </w:tcBorders>
          </w:tcPr>
          <w:p w:rsidR="004F51FF" w:rsidRPr="00D50E91" w:rsidRDefault="004F51FF" w:rsidP="004F51FF">
            <w:pPr>
              <w:autoSpaceDE w:val="0"/>
              <w:jc w:val="center"/>
              <w:rPr>
                <w:sz w:val="20"/>
                <w:szCs w:val="20"/>
              </w:rPr>
            </w:pPr>
          </w:p>
        </w:tc>
        <w:tc>
          <w:tcPr>
            <w:tcW w:w="1442" w:type="pct"/>
            <w:tcBorders>
              <w:top w:val="single" w:sz="4" w:space="0" w:color="000000"/>
              <w:left w:val="single" w:sz="4" w:space="0" w:color="000000"/>
              <w:bottom w:val="single" w:sz="4" w:space="0" w:color="000000"/>
            </w:tcBorders>
          </w:tcPr>
          <w:p w:rsidR="004F51FF" w:rsidRPr="00D50E91" w:rsidRDefault="004F51FF" w:rsidP="004F51FF">
            <w:pPr>
              <w:autoSpaceDE w:val="0"/>
              <w:jc w:val="center"/>
            </w:pPr>
            <w:r w:rsidRPr="00D50E91">
              <w:t xml:space="preserve"> A</w:t>
            </w:r>
          </w:p>
        </w:tc>
        <w:tc>
          <w:tcPr>
            <w:tcW w:w="1156" w:type="pct"/>
            <w:tcBorders>
              <w:top w:val="single" w:sz="4" w:space="0" w:color="000000"/>
              <w:left w:val="single" w:sz="4" w:space="0" w:color="000000"/>
              <w:bottom w:val="single" w:sz="4" w:space="0" w:color="000000"/>
            </w:tcBorders>
          </w:tcPr>
          <w:p w:rsidR="004F51FF" w:rsidRPr="00D50E91" w:rsidRDefault="004F51FF" w:rsidP="004F51FF">
            <w:pPr>
              <w:autoSpaceDE w:val="0"/>
              <w:jc w:val="center"/>
            </w:pPr>
            <w:r w:rsidRPr="00D50E91">
              <w:t xml:space="preserve"> B</w:t>
            </w:r>
          </w:p>
        </w:tc>
        <w:tc>
          <w:tcPr>
            <w:tcW w:w="1156" w:type="pct"/>
            <w:tcBorders>
              <w:top w:val="single" w:sz="4" w:space="0" w:color="000000"/>
              <w:left w:val="single" w:sz="4" w:space="0" w:color="000000"/>
              <w:bottom w:val="single" w:sz="4" w:space="0" w:color="000000"/>
            </w:tcBorders>
          </w:tcPr>
          <w:p w:rsidR="004F51FF" w:rsidRPr="00D50E91" w:rsidRDefault="004F51FF" w:rsidP="004F51FF">
            <w:pPr>
              <w:autoSpaceDE w:val="0"/>
              <w:jc w:val="center"/>
            </w:pPr>
            <w:r w:rsidRPr="00D50E91">
              <w:t xml:space="preserve"> C</w:t>
            </w:r>
          </w:p>
        </w:tc>
        <w:tc>
          <w:tcPr>
            <w:tcW w:w="968" w:type="pct"/>
            <w:tcBorders>
              <w:top w:val="single" w:sz="4" w:space="0" w:color="000000"/>
              <w:left w:val="single" w:sz="4" w:space="0" w:color="000000"/>
              <w:bottom w:val="single" w:sz="4" w:space="0" w:color="000000"/>
              <w:right w:val="single" w:sz="4" w:space="0" w:color="000000"/>
            </w:tcBorders>
          </w:tcPr>
          <w:p w:rsidR="004F51FF" w:rsidRPr="00D50E91" w:rsidRDefault="004F51FF" w:rsidP="004F51FF">
            <w:pPr>
              <w:autoSpaceDE w:val="0"/>
              <w:jc w:val="center"/>
              <w:rPr>
                <w:sz w:val="20"/>
                <w:szCs w:val="20"/>
              </w:rPr>
            </w:pPr>
            <w:r w:rsidRPr="00D50E91">
              <w:rPr>
                <w:sz w:val="20"/>
                <w:szCs w:val="20"/>
              </w:rPr>
              <w:t xml:space="preserve"> D</w:t>
            </w:r>
          </w:p>
        </w:tc>
      </w:tr>
      <w:tr w:rsidR="003D757E" w:rsidRPr="00D50E91" w:rsidTr="003D757E">
        <w:tc>
          <w:tcPr>
            <w:tcW w:w="278" w:type="pct"/>
            <w:tcBorders>
              <w:top w:val="single" w:sz="4" w:space="0" w:color="000000"/>
              <w:left w:val="single" w:sz="4" w:space="0" w:color="000000"/>
              <w:bottom w:val="single" w:sz="4" w:space="0" w:color="000000"/>
              <w:right w:val="single" w:sz="4" w:space="0" w:color="000000"/>
            </w:tcBorders>
          </w:tcPr>
          <w:p w:rsidR="003D757E" w:rsidRPr="00D50E91" w:rsidRDefault="003D757E" w:rsidP="003D757E">
            <w:pPr>
              <w:autoSpaceDE w:val="0"/>
              <w:jc w:val="center"/>
              <w:rPr>
                <w:sz w:val="20"/>
                <w:szCs w:val="20"/>
              </w:rPr>
            </w:pPr>
            <w:r w:rsidRPr="00D50E91">
              <w:rPr>
                <w:sz w:val="20"/>
                <w:szCs w:val="20"/>
              </w:rPr>
              <w:t xml:space="preserve"> 1</w:t>
            </w:r>
          </w:p>
        </w:tc>
        <w:tc>
          <w:tcPr>
            <w:tcW w:w="4722" w:type="pct"/>
            <w:gridSpan w:val="4"/>
            <w:tcBorders>
              <w:top w:val="single" w:sz="4" w:space="0" w:color="000000"/>
              <w:left w:val="single" w:sz="4" w:space="0" w:color="000000"/>
              <w:bottom w:val="single" w:sz="4" w:space="0" w:color="000000"/>
              <w:right w:val="single" w:sz="4" w:space="0" w:color="000000"/>
            </w:tcBorders>
          </w:tcPr>
          <w:p w:rsidR="003D757E" w:rsidRPr="00D50E91" w:rsidRDefault="003D757E" w:rsidP="00C65880">
            <w:pPr>
              <w:autoSpaceDE w:val="0"/>
              <w:jc w:val="center"/>
              <w:rPr>
                <w:b/>
              </w:rPr>
            </w:pPr>
            <w:r w:rsidRPr="00D50E91">
              <w:rPr>
                <w:b/>
                <w:sz w:val="20"/>
                <w:szCs w:val="20"/>
              </w:rPr>
              <w:t>Az önálló rendeltetési egység</w:t>
            </w:r>
          </w:p>
        </w:tc>
      </w:tr>
      <w:tr w:rsidR="003D757E" w:rsidRPr="00D50E91" w:rsidTr="00107BB1">
        <w:trPr>
          <w:cantSplit/>
          <w:trHeight w:val="736"/>
        </w:trPr>
        <w:tc>
          <w:tcPr>
            <w:tcW w:w="278" w:type="pct"/>
            <w:tcBorders>
              <w:top w:val="single" w:sz="4" w:space="0" w:color="000000"/>
              <w:left w:val="single" w:sz="4" w:space="0" w:color="000000"/>
              <w:bottom w:val="single" w:sz="4" w:space="0" w:color="000000"/>
            </w:tcBorders>
          </w:tcPr>
          <w:p w:rsidR="003D757E" w:rsidRPr="00D50E91" w:rsidRDefault="00151389" w:rsidP="00107BB1">
            <w:pPr>
              <w:autoSpaceDE w:val="0"/>
              <w:jc w:val="center"/>
              <w:rPr>
                <w:sz w:val="20"/>
                <w:szCs w:val="20"/>
              </w:rPr>
            </w:pPr>
            <w:r w:rsidRPr="00D50E91">
              <w:rPr>
                <w:sz w:val="20"/>
                <w:szCs w:val="20"/>
              </w:rPr>
              <w:t xml:space="preserve"> </w:t>
            </w:r>
            <w:r w:rsidR="003D757E" w:rsidRPr="00D50E91">
              <w:rPr>
                <w:sz w:val="20"/>
                <w:szCs w:val="20"/>
              </w:rPr>
              <w:t>2</w:t>
            </w:r>
          </w:p>
        </w:tc>
        <w:tc>
          <w:tcPr>
            <w:tcW w:w="1442" w:type="pct"/>
            <w:tcBorders>
              <w:top w:val="single" w:sz="4" w:space="0" w:color="000000"/>
              <w:left w:val="single" w:sz="4" w:space="0" w:color="000000"/>
              <w:bottom w:val="single" w:sz="4" w:space="0" w:color="000000"/>
            </w:tcBorders>
          </w:tcPr>
          <w:p w:rsidR="003D757E" w:rsidRPr="00D50E91" w:rsidRDefault="003D757E" w:rsidP="00107BB1">
            <w:pPr>
              <w:autoSpaceDE w:val="0"/>
              <w:jc w:val="center"/>
              <w:rPr>
                <w:b/>
              </w:rPr>
            </w:pPr>
            <w:r w:rsidRPr="00D50E91">
              <w:rPr>
                <w:b/>
                <w:sz w:val="20"/>
                <w:szCs w:val="20"/>
              </w:rPr>
              <w:t>rendeltetése</w:t>
            </w:r>
          </w:p>
        </w:tc>
        <w:tc>
          <w:tcPr>
            <w:tcW w:w="1156" w:type="pct"/>
            <w:tcBorders>
              <w:top w:val="single" w:sz="4" w:space="0" w:color="000000"/>
              <w:left w:val="single" w:sz="4" w:space="0" w:color="000000"/>
              <w:bottom w:val="single" w:sz="4" w:space="0" w:color="000000"/>
            </w:tcBorders>
          </w:tcPr>
          <w:p w:rsidR="003D757E" w:rsidRPr="00D50E91" w:rsidRDefault="003D757E" w:rsidP="00107BB1">
            <w:pPr>
              <w:autoSpaceDE w:val="0"/>
              <w:jc w:val="center"/>
              <w:rPr>
                <w:b/>
              </w:rPr>
            </w:pPr>
            <w:r w:rsidRPr="00D50E91">
              <w:rPr>
                <w:b/>
                <w:sz w:val="20"/>
                <w:szCs w:val="20"/>
              </w:rPr>
              <w:t>legnagyobb befogadóképességű helyiségének maximális befogadóképessége</w:t>
            </w:r>
          </w:p>
        </w:tc>
        <w:tc>
          <w:tcPr>
            <w:tcW w:w="1156" w:type="pct"/>
            <w:tcBorders>
              <w:top w:val="single" w:sz="4" w:space="0" w:color="000000"/>
              <w:left w:val="single" w:sz="4" w:space="0" w:color="000000"/>
              <w:bottom w:val="single" w:sz="4" w:space="0" w:color="000000"/>
            </w:tcBorders>
          </w:tcPr>
          <w:p w:rsidR="003D757E" w:rsidRPr="00D50E91" w:rsidRDefault="003D757E" w:rsidP="00107BB1">
            <w:pPr>
              <w:autoSpaceDE w:val="0"/>
              <w:jc w:val="center"/>
              <w:rPr>
                <w:b/>
              </w:rPr>
            </w:pPr>
            <w:r w:rsidRPr="00D50E91">
              <w:rPr>
                <w:b/>
                <w:sz w:val="20"/>
                <w:szCs w:val="20"/>
              </w:rPr>
              <w:t>területén rendeltetésszerűen tartózkodó személyek menekülési képessége</w:t>
            </w:r>
          </w:p>
        </w:tc>
        <w:tc>
          <w:tcPr>
            <w:tcW w:w="968" w:type="pct"/>
            <w:tcBorders>
              <w:top w:val="single" w:sz="4" w:space="0" w:color="000000"/>
              <w:left w:val="single" w:sz="4" w:space="0" w:color="000000"/>
              <w:bottom w:val="single" w:sz="4" w:space="0" w:color="000000"/>
              <w:right w:val="single" w:sz="4" w:space="0" w:color="000000"/>
            </w:tcBorders>
          </w:tcPr>
          <w:p w:rsidR="003D757E" w:rsidRPr="00D50E91" w:rsidRDefault="003D757E" w:rsidP="00107BB1">
            <w:pPr>
              <w:autoSpaceDE w:val="0"/>
              <w:jc w:val="center"/>
              <w:rPr>
                <w:b/>
              </w:rPr>
            </w:pPr>
            <w:r w:rsidRPr="00D50E91">
              <w:rPr>
                <w:b/>
                <w:sz w:val="20"/>
                <w:szCs w:val="20"/>
              </w:rPr>
              <w:t>maximális alapterülete</w:t>
            </w:r>
          </w:p>
          <w:p w:rsidR="003D757E" w:rsidRPr="00D50E91" w:rsidRDefault="003D757E" w:rsidP="00107BB1">
            <w:pPr>
              <w:autoSpaceDE w:val="0"/>
              <w:jc w:val="center"/>
              <w:rPr>
                <w:b/>
                <w:sz w:val="20"/>
                <w:szCs w:val="20"/>
              </w:rPr>
            </w:pPr>
          </w:p>
        </w:tc>
      </w:tr>
      <w:tr w:rsidR="003D757E" w:rsidRPr="00D50E91" w:rsidTr="003D757E">
        <w:tc>
          <w:tcPr>
            <w:tcW w:w="278" w:type="pct"/>
            <w:tcBorders>
              <w:top w:val="single" w:sz="4" w:space="0" w:color="000000"/>
              <w:left w:val="single" w:sz="4" w:space="0" w:color="000000"/>
              <w:bottom w:val="single" w:sz="4" w:space="0" w:color="000000"/>
            </w:tcBorders>
          </w:tcPr>
          <w:p w:rsidR="003D757E" w:rsidRPr="00D50E91" w:rsidRDefault="003D757E" w:rsidP="003D757E">
            <w:pPr>
              <w:autoSpaceDE w:val="0"/>
              <w:jc w:val="center"/>
              <w:rPr>
                <w:sz w:val="20"/>
                <w:szCs w:val="20"/>
              </w:rPr>
            </w:pPr>
            <w:r w:rsidRPr="00D50E91">
              <w:rPr>
                <w:sz w:val="20"/>
                <w:szCs w:val="20"/>
              </w:rPr>
              <w:t xml:space="preserve"> 3</w:t>
            </w:r>
          </w:p>
        </w:tc>
        <w:tc>
          <w:tcPr>
            <w:tcW w:w="1442" w:type="pct"/>
            <w:tcBorders>
              <w:top w:val="single" w:sz="4" w:space="0" w:color="000000"/>
              <w:left w:val="single" w:sz="4" w:space="0" w:color="000000"/>
              <w:bottom w:val="single" w:sz="4" w:space="0" w:color="000000"/>
            </w:tcBorders>
          </w:tcPr>
          <w:p w:rsidR="003D757E" w:rsidRPr="00D50E91" w:rsidRDefault="003D757E" w:rsidP="00C65880">
            <w:pPr>
              <w:autoSpaceDE w:val="0"/>
              <w:jc w:val="both"/>
            </w:pPr>
            <w:r w:rsidRPr="00D50E91">
              <w:rPr>
                <w:sz w:val="20"/>
                <w:szCs w:val="20"/>
              </w:rPr>
              <w:t xml:space="preserve">Lakó </w:t>
            </w:r>
          </w:p>
        </w:tc>
        <w:tc>
          <w:tcPr>
            <w:tcW w:w="1156" w:type="pct"/>
            <w:tcBorders>
              <w:top w:val="single" w:sz="4" w:space="0" w:color="000000"/>
              <w:left w:val="single" w:sz="4" w:space="0" w:color="000000"/>
              <w:bottom w:val="single" w:sz="4" w:space="0" w:color="000000"/>
            </w:tcBorders>
          </w:tcPr>
          <w:p w:rsidR="003D757E" w:rsidRPr="00D50E91" w:rsidRDefault="003D757E" w:rsidP="00C65880">
            <w:pPr>
              <w:autoSpaceDE w:val="0"/>
              <w:jc w:val="center"/>
            </w:pPr>
            <w:r w:rsidRPr="00D50E91">
              <w:rPr>
                <w:sz w:val="20"/>
              </w:rPr>
              <w:t>nem releváns</w:t>
            </w:r>
          </w:p>
        </w:tc>
        <w:tc>
          <w:tcPr>
            <w:tcW w:w="1156" w:type="pct"/>
            <w:tcBorders>
              <w:top w:val="single" w:sz="4" w:space="0" w:color="000000"/>
              <w:left w:val="single" w:sz="4" w:space="0" w:color="000000"/>
              <w:bottom w:val="single" w:sz="4" w:space="0" w:color="000000"/>
            </w:tcBorders>
          </w:tcPr>
          <w:p w:rsidR="003D757E" w:rsidRPr="00D50E91" w:rsidRDefault="003D757E" w:rsidP="00C65880">
            <w:pPr>
              <w:autoSpaceDE w:val="0"/>
            </w:pPr>
            <w:r w:rsidRPr="00D50E91">
              <w:rPr>
                <w:sz w:val="20"/>
                <w:szCs w:val="20"/>
              </w:rPr>
              <w:t>önállóan menekülők</w:t>
            </w:r>
          </w:p>
        </w:tc>
        <w:tc>
          <w:tcPr>
            <w:tcW w:w="968" w:type="pct"/>
            <w:vMerge w:val="restart"/>
            <w:tcBorders>
              <w:top w:val="single" w:sz="4" w:space="0" w:color="000000"/>
              <w:left w:val="single" w:sz="4" w:space="0" w:color="000000"/>
              <w:right w:val="single" w:sz="4" w:space="0" w:color="000000"/>
            </w:tcBorders>
          </w:tcPr>
          <w:p w:rsidR="003D757E" w:rsidRPr="00D50E91" w:rsidRDefault="003D757E" w:rsidP="00C65880">
            <w:pPr>
              <w:autoSpaceDE w:val="0"/>
              <w:jc w:val="center"/>
            </w:pPr>
            <w:r w:rsidRPr="00D50E91">
              <w:rPr>
                <w:sz w:val="20"/>
                <w:szCs w:val="20"/>
              </w:rPr>
              <w:t>500 m</w:t>
            </w:r>
            <w:r w:rsidRPr="00D50E91">
              <w:rPr>
                <w:sz w:val="20"/>
                <w:szCs w:val="20"/>
                <w:vertAlign w:val="superscript"/>
              </w:rPr>
              <w:t>2</w:t>
            </w:r>
          </w:p>
        </w:tc>
      </w:tr>
      <w:tr w:rsidR="003D757E" w:rsidRPr="00D50E91" w:rsidTr="003D757E">
        <w:tc>
          <w:tcPr>
            <w:tcW w:w="278" w:type="pct"/>
            <w:tcBorders>
              <w:left w:val="single" w:sz="4" w:space="0" w:color="000000"/>
              <w:bottom w:val="single" w:sz="4" w:space="0" w:color="000000"/>
            </w:tcBorders>
          </w:tcPr>
          <w:p w:rsidR="003D757E" w:rsidRPr="00D50E91" w:rsidRDefault="003D757E" w:rsidP="003D757E">
            <w:pPr>
              <w:autoSpaceDE w:val="0"/>
              <w:jc w:val="center"/>
              <w:rPr>
                <w:sz w:val="20"/>
                <w:szCs w:val="20"/>
              </w:rPr>
            </w:pPr>
            <w:r w:rsidRPr="00D50E91">
              <w:rPr>
                <w:sz w:val="20"/>
                <w:szCs w:val="20"/>
              </w:rPr>
              <w:t xml:space="preserve"> 4</w:t>
            </w:r>
          </w:p>
        </w:tc>
        <w:tc>
          <w:tcPr>
            <w:tcW w:w="1442" w:type="pct"/>
            <w:tcBorders>
              <w:left w:val="single" w:sz="4" w:space="0" w:color="000000"/>
              <w:bottom w:val="single" w:sz="4" w:space="0" w:color="000000"/>
            </w:tcBorders>
          </w:tcPr>
          <w:p w:rsidR="003D757E" w:rsidRPr="00D50E91" w:rsidRDefault="003D757E" w:rsidP="00C65880">
            <w:pPr>
              <w:autoSpaceDE w:val="0"/>
              <w:jc w:val="both"/>
            </w:pPr>
            <w:r w:rsidRPr="00D50E91">
              <w:rPr>
                <w:sz w:val="20"/>
                <w:szCs w:val="20"/>
              </w:rPr>
              <w:t xml:space="preserve">Közösségi </w:t>
            </w:r>
          </w:p>
        </w:tc>
        <w:tc>
          <w:tcPr>
            <w:tcW w:w="1156" w:type="pct"/>
            <w:tcBorders>
              <w:left w:val="single" w:sz="4" w:space="0" w:color="000000"/>
              <w:bottom w:val="single" w:sz="4" w:space="0" w:color="000000"/>
            </w:tcBorders>
          </w:tcPr>
          <w:p w:rsidR="003D757E" w:rsidRPr="00D50E91" w:rsidRDefault="003D757E" w:rsidP="00C65880">
            <w:pPr>
              <w:autoSpaceDE w:val="0"/>
              <w:jc w:val="center"/>
            </w:pPr>
            <w:r w:rsidRPr="00D50E91">
              <w:rPr>
                <w:sz w:val="20"/>
                <w:szCs w:val="20"/>
              </w:rPr>
              <w:t xml:space="preserve">300 fő </w:t>
            </w:r>
          </w:p>
        </w:tc>
        <w:tc>
          <w:tcPr>
            <w:tcW w:w="1156" w:type="pct"/>
            <w:tcBorders>
              <w:left w:val="single" w:sz="4" w:space="0" w:color="000000"/>
              <w:bottom w:val="single" w:sz="4" w:space="0" w:color="000000"/>
            </w:tcBorders>
          </w:tcPr>
          <w:p w:rsidR="003D757E" w:rsidRPr="00D50E91" w:rsidRDefault="003D757E" w:rsidP="00C65880">
            <w:pPr>
              <w:autoSpaceDE w:val="0"/>
            </w:pPr>
            <w:r w:rsidRPr="00D50E91">
              <w:rPr>
                <w:sz w:val="20"/>
                <w:szCs w:val="20"/>
              </w:rPr>
              <w:t>önállóan menekülők</w:t>
            </w:r>
          </w:p>
        </w:tc>
        <w:tc>
          <w:tcPr>
            <w:tcW w:w="968" w:type="pct"/>
            <w:vMerge/>
            <w:tcBorders>
              <w:top w:val="single" w:sz="4" w:space="0" w:color="000000"/>
              <w:left w:val="single" w:sz="4" w:space="0" w:color="000000"/>
              <w:right w:val="single" w:sz="4" w:space="0" w:color="000000"/>
            </w:tcBorders>
          </w:tcPr>
          <w:p w:rsidR="003D757E" w:rsidRPr="00D50E91" w:rsidRDefault="003D757E" w:rsidP="00C65880">
            <w:pPr>
              <w:autoSpaceDE w:val="0"/>
              <w:snapToGrid w:val="0"/>
              <w:jc w:val="center"/>
              <w:rPr>
                <w:sz w:val="20"/>
                <w:szCs w:val="20"/>
              </w:rPr>
            </w:pPr>
          </w:p>
        </w:tc>
      </w:tr>
      <w:tr w:rsidR="003D757E" w:rsidRPr="00D50E91" w:rsidTr="003D757E">
        <w:tc>
          <w:tcPr>
            <w:tcW w:w="278" w:type="pct"/>
            <w:tcBorders>
              <w:top w:val="single" w:sz="4" w:space="0" w:color="000000"/>
              <w:left w:val="single" w:sz="4" w:space="0" w:color="000000"/>
              <w:bottom w:val="single" w:sz="4" w:space="0" w:color="000000"/>
            </w:tcBorders>
          </w:tcPr>
          <w:p w:rsidR="003D757E" w:rsidRPr="00D50E91" w:rsidRDefault="003D757E" w:rsidP="003D757E">
            <w:pPr>
              <w:autoSpaceDE w:val="0"/>
              <w:jc w:val="center"/>
              <w:rPr>
                <w:sz w:val="20"/>
                <w:szCs w:val="20"/>
              </w:rPr>
            </w:pPr>
            <w:r w:rsidRPr="00D50E91">
              <w:rPr>
                <w:sz w:val="20"/>
                <w:szCs w:val="20"/>
              </w:rPr>
              <w:t xml:space="preserve"> 5</w:t>
            </w:r>
          </w:p>
        </w:tc>
        <w:tc>
          <w:tcPr>
            <w:tcW w:w="1442" w:type="pct"/>
            <w:tcBorders>
              <w:top w:val="single" w:sz="4" w:space="0" w:color="000000"/>
              <w:left w:val="single" w:sz="4" w:space="0" w:color="000000"/>
              <w:bottom w:val="single" w:sz="4" w:space="0" w:color="000000"/>
            </w:tcBorders>
          </w:tcPr>
          <w:p w:rsidR="003D757E" w:rsidRPr="00D50E91" w:rsidRDefault="003D757E" w:rsidP="00B11587">
            <w:pPr>
              <w:autoSpaceDE w:val="0"/>
              <w:jc w:val="both"/>
            </w:pPr>
            <w:r w:rsidRPr="00D50E91">
              <w:rPr>
                <w:sz w:val="20"/>
                <w:szCs w:val="20"/>
              </w:rPr>
              <w:t>Ipari, mezőgazdasági, és a rendeltetés szerinti kockázat mértéke NAK vagy AK</w:t>
            </w:r>
          </w:p>
        </w:tc>
        <w:tc>
          <w:tcPr>
            <w:tcW w:w="1156" w:type="pct"/>
            <w:tcBorders>
              <w:top w:val="single" w:sz="4" w:space="0" w:color="000000"/>
              <w:left w:val="single" w:sz="4" w:space="0" w:color="000000"/>
              <w:bottom w:val="single" w:sz="4" w:space="0" w:color="000000"/>
            </w:tcBorders>
          </w:tcPr>
          <w:p w:rsidR="003D757E" w:rsidRPr="00D50E91" w:rsidRDefault="003D757E" w:rsidP="00C65880">
            <w:pPr>
              <w:autoSpaceDE w:val="0"/>
              <w:jc w:val="center"/>
            </w:pPr>
            <w:r w:rsidRPr="00D50E91">
              <w:rPr>
                <w:sz w:val="20"/>
                <w:szCs w:val="20"/>
              </w:rPr>
              <w:t xml:space="preserve">50 fő </w:t>
            </w:r>
          </w:p>
        </w:tc>
        <w:tc>
          <w:tcPr>
            <w:tcW w:w="1156" w:type="pct"/>
            <w:tcBorders>
              <w:top w:val="single" w:sz="4" w:space="0" w:color="000000"/>
              <w:left w:val="single" w:sz="4" w:space="0" w:color="000000"/>
              <w:bottom w:val="single" w:sz="4" w:space="0" w:color="000000"/>
            </w:tcBorders>
          </w:tcPr>
          <w:p w:rsidR="003D757E" w:rsidRPr="00D50E91" w:rsidRDefault="003D757E" w:rsidP="00C65880">
            <w:pPr>
              <w:autoSpaceDE w:val="0"/>
            </w:pPr>
            <w:r w:rsidRPr="00D50E91">
              <w:rPr>
                <w:sz w:val="20"/>
                <w:szCs w:val="20"/>
              </w:rPr>
              <w:t>önállóan menekülők</w:t>
            </w:r>
          </w:p>
        </w:tc>
        <w:tc>
          <w:tcPr>
            <w:tcW w:w="968" w:type="pct"/>
            <w:tcBorders>
              <w:top w:val="single" w:sz="4" w:space="0" w:color="000000"/>
              <w:left w:val="single" w:sz="4" w:space="0" w:color="000000"/>
              <w:bottom w:val="single" w:sz="4" w:space="0" w:color="000000"/>
              <w:right w:val="single" w:sz="4" w:space="0" w:color="000000"/>
            </w:tcBorders>
          </w:tcPr>
          <w:p w:rsidR="003D757E" w:rsidRPr="00D50E91" w:rsidRDefault="003D757E" w:rsidP="00C65880">
            <w:pPr>
              <w:autoSpaceDE w:val="0"/>
              <w:jc w:val="center"/>
            </w:pPr>
            <w:r w:rsidRPr="00D50E91">
              <w:rPr>
                <w:sz w:val="20"/>
                <w:szCs w:val="20"/>
              </w:rPr>
              <w:t>300 m</w:t>
            </w:r>
            <w:r w:rsidRPr="00D50E91">
              <w:rPr>
                <w:sz w:val="20"/>
                <w:szCs w:val="20"/>
                <w:vertAlign w:val="superscript"/>
              </w:rPr>
              <w:t>2</w:t>
            </w:r>
          </w:p>
        </w:tc>
      </w:tr>
    </w:tbl>
    <w:p w:rsidR="005B415B" w:rsidRPr="00D50E91" w:rsidRDefault="005B415B" w:rsidP="00595B18">
      <w:pPr>
        <w:jc w:val="both"/>
      </w:pPr>
    </w:p>
    <w:p w:rsidR="005B415B" w:rsidRPr="00D50E91" w:rsidRDefault="005B415B">
      <w:pPr>
        <w:spacing w:after="200" w:line="276" w:lineRule="auto"/>
      </w:pPr>
      <w:r w:rsidRPr="00D50E91">
        <w:br w:type="page"/>
      </w:r>
    </w:p>
    <w:p w:rsidR="005B415B" w:rsidRPr="00D50E91" w:rsidRDefault="005B415B" w:rsidP="00CE0726">
      <w:pPr>
        <w:autoSpaceDE w:val="0"/>
        <w:autoSpaceDN w:val="0"/>
        <w:adjustRightInd w:val="0"/>
        <w:jc w:val="right"/>
        <w:rPr>
          <w:i/>
        </w:rPr>
      </w:pPr>
      <w:r w:rsidRPr="00D50E91">
        <w:rPr>
          <w:i/>
        </w:rPr>
        <w:lastRenderedPageBreak/>
        <w:t>2. melléklet a …./2018. (……) BM rendelethez</w:t>
      </w:r>
    </w:p>
    <w:p w:rsidR="005B415B" w:rsidRPr="00D50E91" w:rsidRDefault="005B415B" w:rsidP="00595B18">
      <w:pPr>
        <w:jc w:val="both"/>
      </w:pPr>
    </w:p>
    <w:p w:rsidR="005B415B" w:rsidRPr="00D50E91" w:rsidRDefault="005B415B" w:rsidP="00CE0726">
      <w:pPr>
        <w:pStyle w:val="Szvegtrzs"/>
        <w:rPr>
          <w:i/>
        </w:rPr>
      </w:pPr>
      <w:r w:rsidRPr="00D50E91">
        <w:rPr>
          <w:i/>
        </w:rPr>
        <w:t>2. melléklet az 54/2014. (XII. 5.) BM rendelethez</w:t>
      </w:r>
    </w:p>
    <w:p w:rsidR="005B415B" w:rsidRPr="00D50E91" w:rsidRDefault="005B415B" w:rsidP="00595B18">
      <w:pPr>
        <w:jc w:val="both"/>
      </w:pPr>
    </w:p>
    <w:p w:rsidR="005B415B" w:rsidRPr="00D50E91" w:rsidRDefault="005B415B" w:rsidP="00CE0726">
      <w:pPr>
        <w:jc w:val="both"/>
        <w:rPr>
          <w:b/>
          <w:sz w:val="20"/>
          <w:szCs w:val="20"/>
        </w:rPr>
      </w:pPr>
      <w:r w:rsidRPr="00D50E91">
        <w:rPr>
          <w:b/>
          <w:sz w:val="20"/>
          <w:szCs w:val="20"/>
        </w:rPr>
        <w:t>1. táblázat, a Tűzeseti szerkezeti állékonyság alcímhez</w:t>
      </w:r>
    </w:p>
    <w:p w:rsidR="005B415B" w:rsidRPr="00D50E91" w:rsidRDefault="005B415B" w:rsidP="00595B18">
      <w:pPr>
        <w:jc w:val="both"/>
      </w:pPr>
    </w:p>
    <w:p w:rsidR="005B415B" w:rsidRPr="00D50E91" w:rsidRDefault="005B415B" w:rsidP="000E4DE7">
      <w:pPr>
        <w:pStyle w:val="Cmsor2"/>
        <w:ind w:left="0" w:firstLine="0"/>
        <w:rPr>
          <w:b w:val="0"/>
          <w:i/>
          <w:sz w:val="20"/>
          <w:szCs w:val="20"/>
        </w:rPr>
      </w:pPr>
      <w:r w:rsidRPr="00D50E91">
        <w:rPr>
          <w:b w:val="0"/>
          <w:i/>
          <w:sz w:val="20"/>
          <w:szCs w:val="20"/>
        </w:rPr>
        <w:t>Építményszerkezetek tűzvédelmi osztályára és tűzállósági teljesítményére vonatkozó követelmények</w:t>
      </w:r>
    </w:p>
    <w:tbl>
      <w:tblPr>
        <w:tblW w:w="15381" w:type="dxa"/>
        <w:tblInd w:w="-895" w:type="dxa"/>
        <w:tblLayout w:type="fixed"/>
        <w:tblCellMar>
          <w:left w:w="0" w:type="dxa"/>
          <w:right w:w="0" w:type="dxa"/>
        </w:tblCellMar>
        <w:tblLook w:val="0000" w:firstRow="0" w:lastRow="0" w:firstColumn="0" w:lastColumn="0" w:noHBand="0" w:noVBand="0"/>
      </w:tblPr>
      <w:tblGrid>
        <w:gridCol w:w="400"/>
        <w:gridCol w:w="1060"/>
        <w:gridCol w:w="4820"/>
        <w:gridCol w:w="904"/>
        <w:gridCol w:w="665"/>
        <w:gridCol w:w="665"/>
        <w:gridCol w:w="665"/>
        <w:gridCol w:w="665"/>
        <w:gridCol w:w="701"/>
        <w:gridCol w:w="13"/>
        <w:gridCol w:w="15"/>
        <w:gridCol w:w="817"/>
        <w:gridCol w:w="665"/>
        <w:gridCol w:w="666"/>
        <w:gridCol w:w="665"/>
        <w:gridCol w:w="665"/>
        <w:gridCol w:w="665"/>
        <w:gridCol w:w="665"/>
      </w:tblGrid>
      <w:tr w:rsidR="005B415B" w:rsidRPr="00D50E91" w:rsidTr="00B11587">
        <w:tc>
          <w:tcPr>
            <w:tcW w:w="400" w:type="dxa"/>
            <w:tcBorders>
              <w:top w:val="single" w:sz="4" w:space="0" w:color="auto"/>
              <w:left w:val="single" w:sz="4" w:space="0" w:color="auto"/>
              <w:bottom w:val="single" w:sz="4" w:space="0" w:color="auto"/>
              <w:right w:val="single" w:sz="4" w:space="0" w:color="auto"/>
            </w:tcBorders>
          </w:tcPr>
          <w:p w:rsidR="005B415B" w:rsidRPr="00D50E91" w:rsidRDefault="005B415B" w:rsidP="00B11587">
            <w:pPr>
              <w:autoSpaceDE w:val="0"/>
              <w:autoSpaceDN w:val="0"/>
              <w:adjustRightInd w:val="0"/>
              <w:rPr>
                <w:sz w:val="20"/>
                <w:szCs w:val="20"/>
              </w:rPr>
            </w:pPr>
          </w:p>
        </w:tc>
        <w:tc>
          <w:tcPr>
            <w:tcW w:w="1060" w:type="dxa"/>
            <w:tcBorders>
              <w:top w:val="single" w:sz="4" w:space="0" w:color="auto"/>
              <w:left w:val="single" w:sz="4" w:space="0" w:color="auto"/>
              <w:bottom w:val="single" w:sz="4" w:space="0" w:color="auto"/>
              <w:right w:val="single" w:sz="4" w:space="0" w:color="auto"/>
            </w:tcBorders>
          </w:tcPr>
          <w:p w:rsidR="005B415B" w:rsidRPr="00D50E91" w:rsidRDefault="005B415B" w:rsidP="00B11587">
            <w:pPr>
              <w:autoSpaceDE w:val="0"/>
              <w:autoSpaceDN w:val="0"/>
              <w:adjustRightInd w:val="0"/>
              <w:ind w:left="56" w:right="56"/>
              <w:jc w:val="center"/>
              <w:rPr>
                <w:sz w:val="20"/>
                <w:szCs w:val="20"/>
              </w:rPr>
            </w:pPr>
            <w:r w:rsidRPr="00D50E91">
              <w:rPr>
                <w:sz w:val="20"/>
                <w:szCs w:val="20"/>
              </w:rPr>
              <w:t xml:space="preserve"> A</w:t>
            </w:r>
          </w:p>
        </w:tc>
        <w:tc>
          <w:tcPr>
            <w:tcW w:w="4820" w:type="dxa"/>
            <w:tcBorders>
              <w:top w:val="single" w:sz="4" w:space="0" w:color="auto"/>
              <w:left w:val="single" w:sz="4" w:space="0" w:color="auto"/>
              <w:bottom w:val="single" w:sz="4" w:space="0" w:color="auto"/>
              <w:right w:val="single" w:sz="4" w:space="0" w:color="auto"/>
            </w:tcBorders>
          </w:tcPr>
          <w:p w:rsidR="005B415B" w:rsidRPr="00D50E91" w:rsidRDefault="005B415B" w:rsidP="00B11587">
            <w:pPr>
              <w:autoSpaceDE w:val="0"/>
              <w:autoSpaceDN w:val="0"/>
              <w:adjustRightInd w:val="0"/>
              <w:ind w:left="56" w:right="56"/>
              <w:jc w:val="center"/>
              <w:rPr>
                <w:sz w:val="20"/>
                <w:szCs w:val="20"/>
              </w:rPr>
            </w:pPr>
            <w:r w:rsidRPr="00D50E91">
              <w:rPr>
                <w:sz w:val="20"/>
                <w:szCs w:val="20"/>
              </w:rPr>
              <w:t xml:space="preserve"> B</w:t>
            </w:r>
          </w:p>
        </w:tc>
        <w:tc>
          <w:tcPr>
            <w:tcW w:w="904" w:type="dxa"/>
            <w:tcBorders>
              <w:top w:val="single" w:sz="4" w:space="0" w:color="auto"/>
              <w:left w:val="single" w:sz="4" w:space="0" w:color="auto"/>
              <w:bottom w:val="single" w:sz="4" w:space="0" w:color="auto"/>
              <w:right w:val="single" w:sz="4" w:space="0" w:color="auto"/>
            </w:tcBorders>
          </w:tcPr>
          <w:p w:rsidR="005B415B" w:rsidRPr="00D50E91" w:rsidRDefault="005B415B" w:rsidP="00B11587">
            <w:pPr>
              <w:autoSpaceDE w:val="0"/>
              <w:autoSpaceDN w:val="0"/>
              <w:adjustRightInd w:val="0"/>
              <w:ind w:right="56"/>
              <w:jc w:val="center"/>
              <w:rPr>
                <w:sz w:val="20"/>
                <w:szCs w:val="20"/>
              </w:rPr>
            </w:pPr>
            <w:r w:rsidRPr="00D50E91">
              <w:rPr>
                <w:sz w:val="20"/>
                <w:szCs w:val="20"/>
              </w:rPr>
              <w:t>C</w:t>
            </w:r>
          </w:p>
        </w:tc>
        <w:tc>
          <w:tcPr>
            <w:tcW w:w="665" w:type="dxa"/>
            <w:tcBorders>
              <w:top w:val="single" w:sz="4" w:space="0" w:color="auto"/>
              <w:bottom w:val="single" w:sz="4" w:space="0" w:color="auto"/>
              <w:right w:val="single" w:sz="4" w:space="0" w:color="auto"/>
            </w:tcBorders>
          </w:tcPr>
          <w:p w:rsidR="005B415B" w:rsidRPr="00D50E91" w:rsidRDefault="005B415B" w:rsidP="00B11587">
            <w:pPr>
              <w:jc w:val="center"/>
              <w:rPr>
                <w:sz w:val="20"/>
                <w:szCs w:val="20"/>
              </w:rPr>
            </w:pPr>
            <w:r w:rsidRPr="00D50E91">
              <w:rPr>
                <w:sz w:val="20"/>
                <w:szCs w:val="20"/>
              </w:rPr>
              <w:t>D</w:t>
            </w:r>
          </w:p>
        </w:tc>
        <w:tc>
          <w:tcPr>
            <w:tcW w:w="665" w:type="dxa"/>
            <w:tcBorders>
              <w:top w:val="single" w:sz="4" w:space="0" w:color="auto"/>
              <w:bottom w:val="single" w:sz="4" w:space="0" w:color="auto"/>
              <w:right w:val="single" w:sz="4" w:space="0" w:color="auto"/>
            </w:tcBorders>
          </w:tcPr>
          <w:p w:rsidR="005B415B" w:rsidRPr="00D50E91" w:rsidRDefault="005B415B" w:rsidP="00B11587">
            <w:pPr>
              <w:jc w:val="center"/>
              <w:rPr>
                <w:sz w:val="20"/>
                <w:szCs w:val="20"/>
              </w:rPr>
            </w:pPr>
            <w:r w:rsidRPr="00D50E91">
              <w:rPr>
                <w:sz w:val="20"/>
                <w:szCs w:val="20"/>
              </w:rPr>
              <w:t>E</w:t>
            </w:r>
          </w:p>
        </w:tc>
        <w:tc>
          <w:tcPr>
            <w:tcW w:w="665" w:type="dxa"/>
            <w:tcBorders>
              <w:top w:val="single" w:sz="4" w:space="0" w:color="auto"/>
              <w:bottom w:val="single" w:sz="4" w:space="0" w:color="auto"/>
              <w:right w:val="single" w:sz="4" w:space="0" w:color="auto"/>
            </w:tcBorders>
          </w:tcPr>
          <w:p w:rsidR="005B415B" w:rsidRPr="00D50E91" w:rsidRDefault="005B415B" w:rsidP="00B11587">
            <w:pPr>
              <w:jc w:val="center"/>
              <w:rPr>
                <w:sz w:val="20"/>
                <w:szCs w:val="20"/>
              </w:rPr>
            </w:pPr>
            <w:r w:rsidRPr="00D50E91">
              <w:rPr>
                <w:sz w:val="20"/>
                <w:szCs w:val="20"/>
              </w:rPr>
              <w:t>F</w:t>
            </w:r>
          </w:p>
        </w:tc>
        <w:tc>
          <w:tcPr>
            <w:tcW w:w="665" w:type="dxa"/>
            <w:tcBorders>
              <w:top w:val="single" w:sz="4" w:space="0" w:color="auto"/>
              <w:bottom w:val="single" w:sz="4" w:space="0" w:color="auto"/>
              <w:right w:val="single" w:sz="4" w:space="0" w:color="auto"/>
            </w:tcBorders>
          </w:tcPr>
          <w:p w:rsidR="005B415B" w:rsidRPr="00D50E91" w:rsidRDefault="005B415B" w:rsidP="00B11587">
            <w:pPr>
              <w:jc w:val="center"/>
              <w:rPr>
                <w:sz w:val="20"/>
                <w:szCs w:val="20"/>
              </w:rPr>
            </w:pPr>
            <w:r w:rsidRPr="00D50E91">
              <w:rPr>
                <w:sz w:val="20"/>
                <w:szCs w:val="20"/>
              </w:rPr>
              <w:t>G</w:t>
            </w:r>
          </w:p>
        </w:tc>
        <w:tc>
          <w:tcPr>
            <w:tcW w:w="729" w:type="dxa"/>
            <w:gridSpan w:val="3"/>
            <w:tcBorders>
              <w:top w:val="single" w:sz="4" w:space="0" w:color="auto"/>
              <w:bottom w:val="single" w:sz="4" w:space="0" w:color="auto"/>
              <w:right w:val="single" w:sz="4" w:space="0" w:color="auto"/>
            </w:tcBorders>
          </w:tcPr>
          <w:p w:rsidR="005B415B" w:rsidRPr="00D50E91" w:rsidRDefault="005B415B" w:rsidP="00B11587">
            <w:pPr>
              <w:jc w:val="center"/>
              <w:rPr>
                <w:sz w:val="20"/>
                <w:szCs w:val="20"/>
              </w:rPr>
            </w:pPr>
            <w:r w:rsidRPr="00D50E91">
              <w:rPr>
                <w:sz w:val="20"/>
                <w:szCs w:val="20"/>
              </w:rPr>
              <w:t>H</w:t>
            </w:r>
          </w:p>
        </w:tc>
        <w:tc>
          <w:tcPr>
            <w:tcW w:w="817" w:type="dxa"/>
            <w:tcBorders>
              <w:top w:val="single" w:sz="4" w:space="0" w:color="auto"/>
              <w:bottom w:val="single" w:sz="4" w:space="0" w:color="auto"/>
              <w:right w:val="single" w:sz="4" w:space="0" w:color="auto"/>
            </w:tcBorders>
          </w:tcPr>
          <w:p w:rsidR="005B415B" w:rsidRPr="00D50E91" w:rsidRDefault="005B415B" w:rsidP="00B11587">
            <w:pPr>
              <w:jc w:val="center"/>
              <w:rPr>
                <w:sz w:val="20"/>
                <w:szCs w:val="20"/>
              </w:rPr>
            </w:pPr>
            <w:r w:rsidRPr="00D50E91">
              <w:rPr>
                <w:sz w:val="20"/>
                <w:szCs w:val="20"/>
              </w:rPr>
              <w:t>I</w:t>
            </w:r>
          </w:p>
        </w:tc>
        <w:tc>
          <w:tcPr>
            <w:tcW w:w="665" w:type="dxa"/>
            <w:tcBorders>
              <w:top w:val="single" w:sz="4" w:space="0" w:color="auto"/>
              <w:bottom w:val="single" w:sz="4" w:space="0" w:color="auto"/>
              <w:right w:val="single" w:sz="4" w:space="0" w:color="auto"/>
            </w:tcBorders>
          </w:tcPr>
          <w:p w:rsidR="005B415B" w:rsidRPr="00D50E91" w:rsidRDefault="005B415B" w:rsidP="00B11587">
            <w:pPr>
              <w:jc w:val="center"/>
              <w:rPr>
                <w:sz w:val="20"/>
                <w:szCs w:val="20"/>
              </w:rPr>
            </w:pPr>
            <w:r w:rsidRPr="00D50E91">
              <w:rPr>
                <w:sz w:val="20"/>
                <w:szCs w:val="20"/>
              </w:rPr>
              <w:t>J</w:t>
            </w:r>
          </w:p>
        </w:tc>
        <w:tc>
          <w:tcPr>
            <w:tcW w:w="666" w:type="dxa"/>
            <w:tcBorders>
              <w:top w:val="single" w:sz="4" w:space="0" w:color="auto"/>
              <w:bottom w:val="single" w:sz="4" w:space="0" w:color="auto"/>
              <w:right w:val="single" w:sz="4" w:space="0" w:color="auto"/>
            </w:tcBorders>
          </w:tcPr>
          <w:p w:rsidR="005B415B" w:rsidRPr="00D50E91" w:rsidRDefault="005B415B" w:rsidP="00B11587">
            <w:pPr>
              <w:jc w:val="center"/>
              <w:rPr>
                <w:sz w:val="20"/>
                <w:szCs w:val="20"/>
              </w:rPr>
            </w:pPr>
            <w:r w:rsidRPr="00D50E91">
              <w:rPr>
                <w:sz w:val="20"/>
                <w:szCs w:val="20"/>
              </w:rPr>
              <w:t>K</w:t>
            </w:r>
          </w:p>
        </w:tc>
        <w:tc>
          <w:tcPr>
            <w:tcW w:w="665" w:type="dxa"/>
            <w:tcBorders>
              <w:top w:val="single" w:sz="4" w:space="0" w:color="auto"/>
              <w:bottom w:val="single" w:sz="4" w:space="0" w:color="auto"/>
              <w:right w:val="single" w:sz="4" w:space="0" w:color="auto"/>
            </w:tcBorders>
          </w:tcPr>
          <w:p w:rsidR="005B415B" w:rsidRPr="00D50E91" w:rsidRDefault="005B415B" w:rsidP="00B11587">
            <w:pPr>
              <w:jc w:val="center"/>
              <w:rPr>
                <w:sz w:val="20"/>
                <w:szCs w:val="20"/>
              </w:rPr>
            </w:pPr>
            <w:r w:rsidRPr="00D50E91">
              <w:rPr>
                <w:sz w:val="20"/>
                <w:szCs w:val="20"/>
              </w:rPr>
              <w:t>L</w:t>
            </w:r>
          </w:p>
        </w:tc>
        <w:tc>
          <w:tcPr>
            <w:tcW w:w="665" w:type="dxa"/>
            <w:tcBorders>
              <w:top w:val="single" w:sz="4" w:space="0" w:color="auto"/>
              <w:bottom w:val="single" w:sz="4" w:space="0" w:color="auto"/>
              <w:right w:val="single" w:sz="4" w:space="0" w:color="auto"/>
            </w:tcBorders>
          </w:tcPr>
          <w:p w:rsidR="005B415B" w:rsidRPr="00D50E91" w:rsidRDefault="005B415B" w:rsidP="00B11587">
            <w:pPr>
              <w:jc w:val="center"/>
              <w:rPr>
                <w:sz w:val="20"/>
                <w:szCs w:val="20"/>
              </w:rPr>
            </w:pPr>
            <w:r w:rsidRPr="00D50E91">
              <w:rPr>
                <w:sz w:val="20"/>
                <w:szCs w:val="20"/>
              </w:rPr>
              <w:t>M</w:t>
            </w:r>
          </w:p>
        </w:tc>
        <w:tc>
          <w:tcPr>
            <w:tcW w:w="665" w:type="dxa"/>
            <w:tcBorders>
              <w:top w:val="single" w:sz="4" w:space="0" w:color="auto"/>
              <w:bottom w:val="single" w:sz="4" w:space="0" w:color="auto"/>
              <w:right w:val="single" w:sz="4" w:space="0" w:color="auto"/>
            </w:tcBorders>
          </w:tcPr>
          <w:p w:rsidR="005B415B" w:rsidRPr="00D50E91" w:rsidRDefault="005B415B" w:rsidP="00B11587">
            <w:pPr>
              <w:jc w:val="center"/>
              <w:rPr>
                <w:sz w:val="20"/>
                <w:szCs w:val="20"/>
              </w:rPr>
            </w:pPr>
            <w:r w:rsidRPr="00D50E91">
              <w:rPr>
                <w:sz w:val="20"/>
                <w:szCs w:val="20"/>
              </w:rPr>
              <w:t>N</w:t>
            </w:r>
          </w:p>
        </w:tc>
        <w:tc>
          <w:tcPr>
            <w:tcW w:w="665" w:type="dxa"/>
            <w:tcBorders>
              <w:top w:val="single" w:sz="4" w:space="0" w:color="auto"/>
              <w:bottom w:val="single" w:sz="4" w:space="0" w:color="auto"/>
              <w:right w:val="single" w:sz="4" w:space="0" w:color="auto"/>
            </w:tcBorders>
          </w:tcPr>
          <w:p w:rsidR="005B415B" w:rsidRPr="00D50E91" w:rsidRDefault="005B415B" w:rsidP="00B11587">
            <w:pPr>
              <w:jc w:val="center"/>
              <w:rPr>
                <w:sz w:val="20"/>
                <w:szCs w:val="20"/>
              </w:rPr>
            </w:pPr>
            <w:r w:rsidRPr="00D50E91">
              <w:rPr>
                <w:sz w:val="20"/>
                <w:szCs w:val="20"/>
              </w:rPr>
              <w:t>O</w:t>
            </w:r>
          </w:p>
        </w:tc>
      </w:tr>
      <w:tr w:rsidR="005B415B" w:rsidRPr="00D50E91" w:rsidTr="00B11587">
        <w:tc>
          <w:tcPr>
            <w:tcW w:w="400" w:type="dxa"/>
            <w:tcBorders>
              <w:top w:val="single" w:sz="4" w:space="0" w:color="auto"/>
              <w:left w:val="single" w:sz="4" w:space="0" w:color="auto"/>
              <w:bottom w:val="single" w:sz="4" w:space="0" w:color="auto"/>
              <w:right w:val="single" w:sz="4" w:space="0" w:color="auto"/>
            </w:tcBorders>
          </w:tcPr>
          <w:p w:rsidR="005B415B" w:rsidRPr="00D50E91" w:rsidRDefault="005B415B" w:rsidP="00B11587">
            <w:pPr>
              <w:autoSpaceDE w:val="0"/>
              <w:autoSpaceDN w:val="0"/>
              <w:adjustRightInd w:val="0"/>
              <w:ind w:left="56" w:right="56"/>
              <w:jc w:val="center"/>
              <w:rPr>
                <w:sz w:val="20"/>
                <w:szCs w:val="20"/>
              </w:rPr>
            </w:pPr>
            <w:r w:rsidRPr="00D50E91">
              <w:rPr>
                <w:sz w:val="20"/>
                <w:szCs w:val="20"/>
              </w:rPr>
              <w:t xml:space="preserve"> 1</w:t>
            </w:r>
          </w:p>
        </w:tc>
        <w:tc>
          <w:tcPr>
            <w:tcW w:w="5880" w:type="dxa"/>
            <w:gridSpan w:val="2"/>
            <w:tcBorders>
              <w:top w:val="single" w:sz="4" w:space="0" w:color="auto"/>
              <w:left w:val="single" w:sz="4" w:space="0" w:color="auto"/>
              <w:bottom w:val="single" w:sz="4" w:space="0" w:color="auto"/>
              <w:right w:val="single" w:sz="4" w:space="0" w:color="auto"/>
            </w:tcBorders>
          </w:tcPr>
          <w:p w:rsidR="005B415B" w:rsidRPr="00D50E91" w:rsidRDefault="005B415B" w:rsidP="00B11587">
            <w:pPr>
              <w:autoSpaceDE w:val="0"/>
              <w:autoSpaceDN w:val="0"/>
              <w:adjustRightInd w:val="0"/>
              <w:ind w:left="56" w:right="56"/>
              <w:jc w:val="center"/>
              <w:rPr>
                <w:b/>
                <w:sz w:val="20"/>
                <w:szCs w:val="20"/>
              </w:rPr>
            </w:pPr>
            <w:r w:rsidRPr="00D50E91">
              <w:rPr>
                <w:b/>
                <w:sz w:val="20"/>
                <w:szCs w:val="20"/>
              </w:rPr>
              <w:t xml:space="preserve"> Mértékadó kockázati osztály</w:t>
            </w:r>
          </w:p>
        </w:tc>
        <w:tc>
          <w:tcPr>
            <w:tcW w:w="904" w:type="dxa"/>
            <w:tcBorders>
              <w:top w:val="single" w:sz="4" w:space="0" w:color="auto"/>
              <w:left w:val="single" w:sz="4" w:space="0" w:color="auto"/>
              <w:bottom w:val="single" w:sz="4" w:space="0" w:color="auto"/>
              <w:right w:val="single" w:sz="4" w:space="0" w:color="auto"/>
            </w:tcBorders>
          </w:tcPr>
          <w:p w:rsidR="005B415B" w:rsidRPr="00D50E91" w:rsidRDefault="005B415B" w:rsidP="00B11587">
            <w:pPr>
              <w:autoSpaceDE w:val="0"/>
              <w:autoSpaceDN w:val="0"/>
              <w:adjustRightInd w:val="0"/>
              <w:ind w:right="56"/>
              <w:jc w:val="center"/>
              <w:rPr>
                <w:b/>
                <w:sz w:val="20"/>
                <w:szCs w:val="20"/>
              </w:rPr>
            </w:pPr>
          </w:p>
        </w:tc>
        <w:tc>
          <w:tcPr>
            <w:tcW w:w="665" w:type="dxa"/>
            <w:tcBorders>
              <w:top w:val="single" w:sz="4" w:space="0" w:color="auto"/>
              <w:bottom w:val="single" w:sz="4" w:space="0" w:color="auto"/>
              <w:right w:val="single" w:sz="4" w:space="0" w:color="auto"/>
            </w:tcBorders>
          </w:tcPr>
          <w:p w:rsidR="005B415B" w:rsidRPr="00D50E91" w:rsidRDefault="005B415B" w:rsidP="00B11587">
            <w:pPr>
              <w:jc w:val="center"/>
              <w:rPr>
                <w:b/>
                <w:sz w:val="20"/>
                <w:szCs w:val="20"/>
              </w:rPr>
            </w:pPr>
            <w:r w:rsidRPr="00D50E91">
              <w:rPr>
                <w:b/>
                <w:sz w:val="20"/>
                <w:szCs w:val="20"/>
              </w:rPr>
              <w:t>NAK</w:t>
            </w:r>
          </w:p>
        </w:tc>
        <w:tc>
          <w:tcPr>
            <w:tcW w:w="665" w:type="dxa"/>
            <w:tcBorders>
              <w:top w:val="single" w:sz="4" w:space="0" w:color="auto"/>
              <w:bottom w:val="single" w:sz="4" w:space="0" w:color="auto"/>
              <w:right w:val="single" w:sz="4" w:space="0" w:color="auto"/>
            </w:tcBorders>
          </w:tcPr>
          <w:p w:rsidR="005B415B" w:rsidRPr="00D50E91" w:rsidRDefault="005B415B" w:rsidP="00B11587">
            <w:pPr>
              <w:jc w:val="center"/>
              <w:rPr>
                <w:b/>
                <w:sz w:val="20"/>
                <w:szCs w:val="20"/>
              </w:rPr>
            </w:pPr>
            <w:r w:rsidRPr="00D50E91">
              <w:rPr>
                <w:b/>
                <w:sz w:val="20"/>
                <w:szCs w:val="20"/>
              </w:rPr>
              <w:t>NAK</w:t>
            </w:r>
          </w:p>
        </w:tc>
        <w:tc>
          <w:tcPr>
            <w:tcW w:w="665" w:type="dxa"/>
            <w:tcBorders>
              <w:top w:val="single" w:sz="4" w:space="0" w:color="auto"/>
              <w:bottom w:val="single" w:sz="4" w:space="0" w:color="auto"/>
              <w:right w:val="single" w:sz="4" w:space="0" w:color="auto"/>
            </w:tcBorders>
          </w:tcPr>
          <w:p w:rsidR="005B415B" w:rsidRPr="00D50E91" w:rsidRDefault="005B415B" w:rsidP="00B11587">
            <w:pPr>
              <w:jc w:val="center"/>
              <w:rPr>
                <w:b/>
                <w:sz w:val="20"/>
                <w:szCs w:val="20"/>
              </w:rPr>
            </w:pPr>
            <w:r w:rsidRPr="00D50E91">
              <w:rPr>
                <w:b/>
                <w:sz w:val="20"/>
                <w:szCs w:val="20"/>
              </w:rPr>
              <w:t>NAK</w:t>
            </w:r>
          </w:p>
        </w:tc>
        <w:tc>
          <w:tcPr>
            <w:tcW w:w="665" w:type="dxa"/>
            <w:tcBorders>
              <w:top w:val="single" w:sz="4" w:space="0" w:color="auto"/>
              <w:bottom w:val="single" w:sz="4" w:space="0" w:color="auto"/>
              <w:right w:val="single" w:sz="4" w:space="0" w:color="auto"/>
            </w:tcBorders>
            <w:shd w:val="clear" w:color="auto" w:fill="BFBFBF"/>
          </w:tcPr>
          <w:p w:rsidR="005B415B" w:rsidRPr="00D50E91" w:rsidRDefault="005B415B" w:rsidP="00B11587">
            <w:pPr>
              <w:jc w:val="center"/>
              <w:rPr>
                <w:b/>
                <w:sz w:val="20"/>
                <w:szCs w:val="20"/>
              </w:rPr>
            </w:pPr>
            <w:r w:rsidRPr="00D50E91">
              <w:rPr>
                <w:b/>
                <w:sz w:val="20"/>
                <w:szCs w:val="20"/>
              </w:rPr>
              <w:t>AK</w:t>
            </w:r>
          </w:p>
        </w:tc>
        <w:tc>
          <w:tcPr>
            <w:tcW w:w="714" w:type="dxa"/>
            <w:gridSpan w:val="2"/>
            <w:tcBorders>
              <w:top w:val="single" w:sz="4" w:space="0" w:color="auto"/>
              <w:bottom w:val="single" w:sz="4" w:space="0" w:color="auto"/>
              <w:right w:val="single" w:sz="4" w:space="0" w:color="auto"/>
            </w:tcBorders>
            <w:shd w:val="clear" w:color="auto" w:fill="BFBFBF"/>
          </w:tcPr>
          <w:p w:rsidR="005B415B" w:rsidRPr="00D50E91" w:rsidRDefault="005B415B" w:rsidP="00B11587">
            <w:pPr>
              <w:jc w:val="center"/>
              <w:rPr>
                <w:b/>
                <w:sz w:val="20"/>
                <w:szCs w:val="20"/>
              </w:rPr>
            </w:pPr>
            <w:r w:rsidRPr="00D50E91">
              <w:rPr>
                <w:b/>
                <w:sz w:val="20"/>
                <w:szCs w:val="20"/>
              </w:rPr>
              <w:t>AK</w:t>
            </w:r>
          </w:p>
        </w:tc>
        <w:tc>
          <w:tcPr>
            <w:tcW w:w="832" w:type="dxa"/>
            <w:gridSpan w:val="2"/>
            <w:tcBorders>
              <w:top w:val="single" w:sz="4" w:space="0" w:color="auto"/>
              <w:bottom w:val="single" w:sz="4" w:space="0" w:color="auto"/>
              <w:right w:val="single" w:sz="4" w:space="0" w:color="auto"/>
            </w:tcBorders>
            <w:shd w:val="clear" w:color="auto" w:fill="BFBFBF"/>
          </w:tcPr>
          <w:p w:rsidR="005B415B" w:rsidRPr="00D50E91" w:rsidRDefault="005B415B" w:rsidP="00B11587">
            <w:pPr>
              <w:jc w:val="center"/>
              <w:rPr>
                <w:b/>
                <w:sz w:val="20"/>
                <w:szCs w:val="20"/>
              </w:rPr>
            </w:pPr>
            <w:r w:rsidRPr="00D50E91">
              <w:rPr>
                <w:b/>
                <w:sz w:val="20"/>
                <w:szCs w:val="20"/>
              </w:rPr>
              <w:t>AK</w:t>
            </w:r>
          </w:p>
        </w:tc>
        <w:tc>
          <w:tcPr>
            <w:tcW w:w="665" w:type="dxa"/>
            <w:tcBorders>
              <w:top w:val="single" w:sz="4" w:space="0" w:color="auto"/>
              <w:bottom w:val="single" w:sz="4" w:space="0" w:color="auto"/>
              <w:right w:val="single" w:sz="4" w:space="0" w:color="auto"/>
            </w:tcBorders>
          </w:tcPr>
          <w:p w:rsidR="005B415B" w:rsidRPr="00D50E91" w:rsidRDefault="005B415B" w:rsidP="00B11587">
            <w:pPr>
              <w:jc w:val="center"/>
              <w:rPr>
                <w:b/>
                <w:sz w:val="20"/>
                <w:szCs w:val="20"/>
              </w:rPr>
            </w:pPr>
            <w:r w:rsidRPr="00D50E91">
              <w:rPr>
                <w:b/>
                <w:sz w:val="20"/>
                <w:szCs w:val="20"/>
              </w:rPr>
              <w:t>KK</w:t>
            </w:r>
          </w:p>
        </w:tc>
        <w:tc>
          <w:tcPr>
            <w:tcW w:w="666" w:type="dxa"/>
            <w:tcBorders>
              <w:top w:val="single" w:sz="4" w:space="0" w:color="auto"/>
              <w:bottom w:val="single" w:sz="4" w:space="0" w:color="auto"/>
              <w:right w:val="single" w:sz="4" w:space="0" w:color="auto"/>
            </w:tcBorders>
          </w:tcPr>
          <w:p w:rsidR="005B415B" w:rsidRPr="00D50E91" w:rsidRDefault="005B415B" w:rsidP="00B11587">
            <w:pPr>
              <w:jc w:val="center"/>
              <w:rPr>
                <w:b/>
                <w:sz w:val="20"/>
                <w:szCs w:val="20"/>
              </w:rPr>
            </w:pPr>
            <w:r w:rsidRPr="00D50E91">
              <w:rPr>
                <w:b/>
                <w:sz w:val="20"/>
                <w:szCs w:val="20"/>
              </w:rPr>
              <w:t>KK</w:t>
            </w:r>
          </w:p>
        </w:tc>
        <w:tc>
          <w:tcPr>
            <w:tcW w:w="665" w:type="dxa"/>
            <w:tcBorders>
              <w:top w:val="single" w:sz="4" w:space="0" w:color="auto"/>
              <w:bottom w:val="single" w:sz="4" w:space="0" w:color="auto"/>
              <w:right w:val="single" w:sz="4" w:space="0" w:color="auto"/>
            </w:tcBorders>
          </w:tcPr>
          <w:p w:rsidR="005B415B" w:rsidRPr="00D50E91" w:rsidRDefault="005B415B" w:rsidP="00B11587">
            <w:pPr>
              <w:jc w:val="center"/>
              <w:rPr>
                <w:b/>
                <w:sz w:val="20"/>
                <w:szCs w:val="20"/>
              </w:rPr>
            </w:pPr>
            <w:r w:rsidRPr="00D50E91">
              <w:rPr>
                <w:b/>
                <w:sz w:val="20"/>
                <w:szCs w:val="20"/>
              </w:rPr>
              <w:t>KK</w:t>
            </w:r>
          </w:p>
        </w:tc>
        <w:tc>
          <w:tcPr>
            <w:tcW w:w="665" w:type="dxa"/>
            <w:tcBorders>
              <w:top w:val="single" w:sz="4" w:space="0" w:color="auto"/>
              <w:bottom w:val="single" w:sz="4" w:space="0" w:color="auto"/>
              <w:right w:val="single" w:sz="4" w:space="0" w:color="auto"/>
            </w:tcBorders>
            <w:shd w:val="clear" w:color="auto" w:fill="BFBFBF"/>
          </w:tcPr>
          <w:p w:rsidR="005B415B" w:rsidRPr="00D50E91" w:rsidRDefault="005B415B" w:rsidP="00B11587">
            <w:pPr>
              <w:jc w:val="center"/>
              <w:rPr>
                <w:b/>
                <w:sz w:val="20"/>
                <w:szCs w:val="20"/>
              </w:rPr>
            </w:pPr>
            <w:r w:rsidRPr="00D50E91">
              <w:rPr>
                <w:b/>
                <w:sz w:val="20"/>
                <w:szCs w:val="20"/>
              </w:rPr>
              <w:t>MK</w:t>
            </w:r>
          </w:p>
        </w:tc>
        <w:tc>
          <w:tcPr>
            <w:tcW w:w="665" w:type="dxa"/>
            <w:tcBorders>
              <w:top w:val="single" w:sz="4" w:space="0" w:color="auto"/>
              <w:bottom w:val="single" w:sz="4" w:space="0" w:color="auto"/>
              <w:right w:val="single" w:sz="4" w:space="0" w:color="auto"/>
            </w:tcBorders>
            <w:shd w:val="clear" w:color="auto" w:fill="BFBFBF"/>
          </w:tcPr>
          <w:p w:rsidR="005B415B" w:rsidRPr="00D50E91" w:rsidRDefault="005B415B" w:rsidP="00B11587">
            <w:pPr>
              <w:jc w:val="center"/>
              <w:rPr>
                <w:b/>
                <w:sz w:val="20"/>
                <w:szCs w:val="20"/>
              </w:rPr>
            </w:pPr>
            <w:r w:rsidRPr="00D50E91">
              <w:rPr>
                <w:b/>
                <w:sz w:val="20"/>
                <w:szCs w:val="20"/>
              </w:rPr>
              <w:t>MK</w:t>
            </w:r>
          </w:p>
        </w:tc>
        <w:tc>
          <w:tcPr>
            <w:tcW w:w="665" w:type="dxa"/>
            <w:tcBorders>
              <w:top w:val="single" w:sz="4" w:space="0" w:color="auto"/>
              <w:bottom w:val="single" w:sz="4" w:space="0" w:color="auto"/>
              <w:right w:val="single" w:sz="4" w:space="0" w:color="auto"/>
            </w:tcBorders>
            <w:shd w:val="clear" w:color="auto" w:fill="BFBFBF"/>
          </w:tcPr>
          <w:p w:rsidR="005B415B" w:rsidRPr="00D50E91" w:rsidRDefault="005B415B" w:rsidP="00B11587">
            <w:pPr>
              <w:jc w:val="center"/>
              <w:rPr>
                <w:b/>
                <w:sz w:val="20"/>
                <w:szCs w:val="20"/>
              </w:rPr>
            </w:pPr>
            <w:r w:rsidRPr="00D50E91">
              <w:rPr>
                <w:b/>
                <w:sz w:val="20"/>
                <w:szCs w:val="20"/>
              </w:rPr>
              <w:t>MK</w:t>
            </w:r>
          </w:p>
        </w:tc>
      </w:tr>
      <w:tr w:rsidR="005B415B" w:rsidRPr="00D50E91" w:rsidTr="00B11587">
        <w:trPr>
          <w:trHeight w:val="1095"/>
        </w:trPr>
        <w:tc>
          <w:tcPr>
            <w:tcW w:w="400" w:type="dxa"/>
            <w:vMerge w:val="restart"/>
            <w:tcBorders>
              <w:top w:val="single" w:sz="4" w:space="0" w:color="auto"/>
              <w:left w:val="single" w:sz="4" w:space="0" w:color="auto"/>
              <w:right w:val="single" w:sz="4" w:space="0" w:color="auto"/>
            </w:tcBorders>
          </w:tcPr>
          <w:p w:rsidR="005B415B" w:rsidRPr="00D50E91" w:rsidRDefault="005B415B" w:rsidP="00B11587">
            <w:pPr>
              <w:autoSpaceDE w:val="0"/>
              <w:autoSpaceDN w:val="0"/>
              <w:adjustRightInd w:val="0"/>
              <w:ind w:left="56" w:right="56"/>
              <w:jc w:val="center"/>
              <w:rPr>
                <w:sz w:val="20"/>
                <w:szCs w:val="20"/>
              </w:rPr>
            </w:pPr>
            <w:r w:rsidRPr="00D50E91">
              <w:rPr>
                <w:sz w:val="20"/>
                <w:szCs w:val="20"/>
              </w:rPr>
              <w:t xml:space="preserve"> 2</w:t>
            </w:r>
          </w:p>
        </w:tc>
        <w:tc>
          <w:tcPr>
            <w:tcW w:w="5880" w:type="dxa"/>
            <w:gridSpan w:val="2"/>
            <w:vMerge w:val="restart"/>
            <w:tcBorders>
              <w:top w:val="single" w:sz="4" w:space="0" w:color="auto"/>
              <w:left w:val="single" w:sz="4" w:space="0" w:color="auto"/>
              <w:right w:val="single" w:sz="4" w:space="0" w:color="auto"/>
            </w:tcBorders>
          </w:tcPr>
          <w:p w:rsidR="005B415B" w:rsidRPr="00D50E91" w:rsidRDefault="005B415B" w:rsidP="00B11587">
            <w:pPr>
              <w:autoSpaceDE w:val="0"/>
              <w:autoSpaceDN w:val="0"/>
              <w:adjustRightInd w:val="0"/>
              <w:ind w:left="56" w:right="56"/>
              <w:jc w:val="center"/>
              <w:rPr>
                <w:sz w:val="20"/>
                <w:szCs w:val="20"/>
              </w:rPr>
            </w:pPr>
            <w:r w:rsidRPr="00D50E91">
              <w:rPr>
                <w:sz w:val="20"/>
                <w:szCs w:val="20"/>
              </w:rPr>
              <w:t>Épület, önálló épületrész szintszáma (a 12. § (4) bekezdése alapján)</w:t>
            </w:r>
          </w:p>
          <w:p w:rsidR="005B415B" w:rsidRPr="00D50E91" w:rsidRDefault="005B415B" w:rsidP="00B11587">
            <w:pPr>
              <w:autoSpaceDE w:val="0"/>
              <w:autoSpaceDN w:val="0"/>
              <w:adjustRightInd w:val="0"/>
              <w:ind w:left="56" w:right="56"/>
              <w:jc w:val="center"/>
              <w:rPr>
                <w:sz w:val="20"/>
                <w:szCs w:val="20"/>
              </w:rPr>
            </w:pPr>
          </w:p>
          <w:p w:rsidR="005B415B" w:rsidRPr="00D50E91" w:rsidRDefault="005B415B" w:rsidP="00B11587">
            <w:pPr>
              <w:autoSpaceDE w:val="0"/>
              <w:ind w:left="426" w:hanging="284"/>
              <w:jc w:val="both"/>
              <w:rPr>
                <w:sz w:val="20"/>
                <w:szCs w:val="20"/>
              </w:rPr>
            </w:pPr>
          </w:p>
        </w:tc>
        <w:tc>
          <w:tcPr>
            <w:tcW w:w="904" w:type="dxa"/>
            <w:vMerge w:val="restart"/>
            <w:tcBorders>
              <w:top w:val="single" w:sz="4" w:space="0" w:color="auto"/>
              <w:left w:val="single" w:sz="4" w:space="0" w:color="auto"/>
              <w:right w:val="single" w:sz="4" w:space="0" w:color="auto"/>
            </w:tcBorders>
          </w:tcPr>
          <w:p w:rsidR="005B415B" w:rsidRPr="00D50E91" w:rsidRDefault="005B415B" w:rsidP="00B11587">
            <w:pPr>
              <w:autoSpaceDE w:val="0"/>
              <w:autoSpaceDN w:val="0"/>
              <w:adjustRightInd w:val="0"/>
              <w:ind w:right="56"/>
              <w:jc w:val="center"/>
              <w:rPr>
                <w:sz w:val="20"/>
                <w:szCs w:val="20"/>
              </w:rPr>
            </w:pPr>
          </w:p>
        </w:tc>
        <w:tc>
          <w:tcPr>
            <w:tcW w:w="665" w:type="dxa"/>
            <w:tcBorders>
              <w:top w:val="single" w:sz="4" w:space="0" w:color="auto"/>
              <w:bottom w:val="single" w:sz="4" w:space="0" w:color="auto"/>
              <w:right w:val="single" w:sz="4" w:space="0" w:color="auto"/>
            </w:tcBorders>
          </w:tcPr>
          <w:p w:rsidR="005B415B" w:rsidRPr="00D50E91" w:rsidRDefault="005B415B" w:rsidP="00B11587">
            <w:pPr>
              <w:autoSpaceDE w:val="0"/>
              <w:autoSpaceDN w:val="0"/>
              <w:adjustRightInd w:val="0"/>
              <w:ind w:right="56"/>
              <w:jc w:val="center"/>
              <w:rPr>
                <w:sz w:val="20"/>
                <w:szCs w:val="20"/>
              </w:rPr>
            </w:pPr>
            <w:r w:rsidRPr="00D50E91">
              <w:rPr>
                <w:sz w:val="20"/>
                <w:szCs w:val="20"/>
              </w:rPr>
              <w:t>1</w:t>
            </w:r>
            <w:r w:rsidR="003528A8">
              <w:rPr>
                <w:sz w:val="20"/>
                <w:szCs w:val="20"/>
              </w:rPr>
              <w:t>-</w:t>
            </w:r>
            <w:r w:rsidRPr="00D50E91">
              <w:rPr>
                <w:sz w:val="20"/>
                <w:szCs w:val="20"/>
              </w:rPr>
              <w:t>2</w:t>
            </w:r>
          </w:p>
          <w:p w:rsidR="005B415B" w:rsidRPr="00D50E91" w:rsidRDefault="005B415B" w:rsidP="00B11587">
            <w:pPr>
              <w:autoSpaceDE w:val="0"/>
              <w:autoSpaceDN w:val="0"/>
              <w:adjustRightInd w:val="0"/>
              <w:ind w:right="56"/>
              <w:jc w:val="center"/>
              <w:rPr>
                <w:sz w:val="20"/>
                <w:szCs w:val="20"/>
              </w:rPr>
            </w:pPr>
            <w:r w:rsidRPr="00D50E91">
              <w:rPr>
                <w:sz w:val="14"/>
                <w:szCs w:val="20"/>
              </w:rPr>
              <w:t>Ipari, mezőgazdasági, tárolási, alaprend. esetén</w:t>
            </w:r>
          </w:p>
        </w:tc>
        <w:tc>
          <w:tcPr>
            <w:tcW w:w="665" w:type="dxa"/>
            <w:tcBorders>
              <w:top w:val="single" w:sz="4" w:space="0" w:color="auto"/>
              <w:bottom w:val="single" w:sz="4" w:space="0" w:color="auto"/>
              <w:right w:val="single" w:sz="4" w:space="0" w:color="auto"/>
            </w:tcBorders>
          </w:tcPr>
          <w:p w:rsidR="005B415B" w:rsidRPr="00D50E91" w:rsidRDefault="005B415B" w:rsidP="00B11587">
            <w:pPr>
              <w:autoSpaceDE w:val="0"/>
              <w:autoSpaceDN w:val="0"/>
              <w:adjustRightInd w:val="0"/>
              <w:ind w:right="56"/>
              <w:jc w:val="center"/>
              <w:rPr>
                <w:sz w:val="20"/>
                <w:szCs w:val="20"/>
              </w:rPr>
            </w:pPr>
            <w:r w:rsidRPr="00D50E91">
              <w:rPr>
                <w:sz w:val="20"/>
                <w:szCs w:val="20"/>
              </w:rPr>
              <w:t>3</w:t>
            </w:r>
          </w:p>
          <w:p w:rsidR="005B415B" w:rsidRPr="00D50E91" w:rsidRDefault="005B415B" w:rsidP="00B11587">
            <w:pPr>
              <w:autoSpaceDE w:val="0"/>
              <w:autoSpaceDN w:val="0"/>
              <w:adjustRightInd w:val="0"/>
              <w:ind w:right="56"/>
              <w:jc w:val="center"/>
              <w:rPr>
                <w:sz w:val="20"/>
                <w:szCs w:val="20"/>
              </w:rPr>
            </w:pPr>
            <w:r w:rsidRPr="00D50E91">
              <w:rPr>
                <w:sz w:val="14"/>
                <w:szCs w:val="20"/>
              </w:rPr>
              <w:t>Ipari, mezőgazdasági, tárolási alaprend. esetén</w:t>
            </w:r>
            <w:r w:rsidRPr="00D50E91" w:rsidDel="002B4CAE">
              <w:rPr>
                <w:sz w:val="20"/>
                <w:szCs w:val="20"/>
              </w:rPr>
              <w:t xml:space="preserve"> </w:t>
            </w:r>
          </w:p>
        </w:tc>
        <w:tc>
          <w:tcPr>
            <w:tcW w:w="665" w:type="dxa"/>
            <w:vMerge w:val="restart"/>
            <w:tcBorders>
              <w:top w:val="single" w:sz="4" w:space="0" w:color="auto"/>
              <w:right w:val="single" w:sz="4" w:space="0" w:color="auto"/>
            </w:tcBorders>
          </w:tcPr>
          <w:p w:rsidR="005B415B" w:rsidRPr="00D50E91" w:rsidRDefault="005B415B" w:rsidP="00B11587">
            <w:pPr>
              <w:tabs>
                <w:tab w:val="left" w:pos="254"/>
                <w:tab w:val="center" w:pos="398"/>
              </w:tabs>
              <w:autoSpaceDE w:val="0"/>
              <w:autoSpaceDN w:val="0"/>
              <w:adjustRightInd w:val="0"/>
              <w:ind w:right="56"/>
              <w:rPr>
                <w:sz w:val="20"/>
                <w:szCs w:val="20"/>
              </w:rPr>
            </w:pPr>
            <w:r w:rsidRPr="00D50E91">
              <w:rPr>
                <w:sz w:val="20"/>
                <w:szCs w:val="20"/>
              </w:rPr>
              <w:tab/>
              <w:t>4</w:t>
            </w:r>
          </w:p>
          <w:p w:rsidR="005B415B" w:rsidRPr="00D50E91" w:rsidRDefault="005B415B" w:rsidP="00B11587">
            <w:pPr>
              <w:tabs>
                <w:tab w:val="left" w:pos="254"/>
                <w:tab w:val="center" w:pos="398"/>
              </w:tabs>
              <w:autoSpaceDE w:val="0"/>
              <w:autoSpaceDN w:val="0"/>
              <w:adjustRightInd w:val="0"/>
              <w:ind w:right="56"/>
              <w:rPr>
                <w:sz w:val="20"/>
                <w:szCs w:val="20"/>
              </w:rPr>
            </w:pPr>
          </w:p>
        </w:tc>
        <w:tc>
          <w:tcPr>
            <w:tcW w:w="665" w:type="dxa"/>
            <w:vMerge w:val="restart"/>
            <w:tcBorders>
              <w:top w:val="single" w:sz="4" w:space="0" w:color="auto"/>
              <w:right w:val="single" w:sz="4" w:space="0" w:color="auto"/>
            </w:tcBorders>
            <w:shd w:val="clear" w:color="auto" w:fill="BFBFBF"/>
          </w:tcPr>
          <w:p w:rsidR="005B415B" w:rsidRPr="00D50E91" w:rsidRDefault="005B415B" w:rsidP="00B11587">
            <w:pPr>
              <w:autoSpaceDE w:val="0"/>
              <w:autoSpaceDN w:val="0"/>
              <w:adjustRightInd w:val="0"/>
              <w:ind w:right="56"/>
              <w:jc w:val="center"/>
              <w:rPr>
                <w:sz w:val="20"/>
                <w:szCs w:val="20"/>
              </w:rPr>
            </w:pPr>
            <w:r w:rsidRPr="00D50E91">
              <w:rPr>
                <w:sz w:val="20"/>
                <w:szCs w:val="20"/>
              </w:rPr>
              <w:t>1</w:t>
            </w:r>
            <w:r w:rsidR="003528A8">
              <w:rPr>
                <w:sz w:val="20"/>
                <w:szCs w:val="20"/>
              </w:rPr>
              <w:t>-</w:t>
            </w:r>
            <w:r w:rsidRPr="00D50E91">
              <w:rPr>
                <w:sz w:val="20"/>
                <w:szCs w:val="20"/>
              </w:rPr>
              <w:t>2</w:t>
            </w:r>
          </w:p>
          <w:p w:rsidR="005B415B" w:rsidRPr="00D50E91" w:rsidRDefault="005B415B" w:rsidP="00B11587">
            <w:pPr>
              <w:autoSpaceDE w:val="0"/>
              <w:autoSpaceDN w:val="0"/>
              <w:adjustRightInd w:val="0"/>
              <w:ind w:right="56"/>
              <w:jc w:val="center"/>
              <w:rPr>
                <w:sz w:val="20"/>
                <w:szCs w:val="20"/>
              </w:rPr>
            </w:pPr>
          </w:p>
        </w:tc>
        <w:tc>
          <w:tcPr>
            <w:tcW w:w="714" w:type="dxa"/>
            <w:gridSpan w:val="2"/>
            <w:vMerge w:val="restart"/>
            <w:tcBorders>
              <w:top w:val="single" w:sz="4" w:space="0" w:color="auto"/>
              <w:right w:val="single" w:sz="4" w:space="0" w:color="auto"/>
            </w:tcBorders>
            <w:shd w:val="clear" w:color="auto" w:fill="BFBFBF"/>
          </w:tcPr>
          <w:p w:rsidR="005B415B" w:rsidRPr="00D50E91" w:rsidRDefault="005B415B" w:rsidP="00B11587">
            <w:pPr>
              <w:autoSpaceDE w:val="0"/>
              <w:autoSpaceDN w:val="0"/>
              <w:adjustRightInd w:val="0"/>
              <w:ind w:right="56"/>
              <w:jc w:val="center"/>
              <w:rPr>
                <w:sz w:val="20"/>
                <w:szCs w:val="20"/>
              </w:rPr>
            </w:pPr>
            <w:r w:rsidRPr="00D50E91">
              <w:rPr>
                <w:sz w:val="20"/>
                <w:szCs w:val="20"/>
              </w:rPr>
              <w:t>3</w:t>
            </w:r>
            <w:r w:rsidR="003528A8">
              <w:rPr>
                <w:sz w:val="20"/>
                <w:szCs w:val="20"/>
              </w:rPr>
              <w:t>-</w:t>
            </w:r>
            <w:r w:rsidRPr="00D50E91">
              <w:rPr>
                <w:sz w:val="20"/>
                <w:szCs w:val="20"/>
              </w:rPr>
              <w:t>4</w:t>
            </w:r>
          </w:p>
          <w:p w:rsidR="005B415B" w:rsidRPr="00D50E91" w:rsidRDefault="005B415B" w:rsidP="00B11587">
            <w:pPr>
              <w:autoSpaceDE w:val="0"/>
              <w:autoSpaceDN w:val="0"/>
              <w:adjustRightInd w:val="0"/>
              <w:ind w:right="56"/>
              <w:jc w:val="center"/>
              <w:rPr>
                <w:sz w:val="20"/>
                <w:szCs w:val="20"/>
              </w:rPr>
            </w:pPr>
          </w:p>
        </w:tc>
        <w:tc>
          <w:tcPr>
            <w:tcW w:w="832" w:type="dxa"/>
            <w:gridSpan w:val="2"/>
            <w:vMerge w:val="restart"/>
            <w:tcBorders>
              <w:top w:val="single" w:sz="4" w:space="0" w:color="auto"/>
              <w:right w:val="single" w:sz="4" w:space="0" w:color="auto"/>
            </w:tcBorders>
            <w:shd w:val="clear" w:color="auto" w:fill="BFBFBF"/>
          </w:tcPr>
          <w:p w:rsidR="005B415B" w:rsidRPr="00D50E91" w:rsidRDefault="005B415B" w:rsidP="00B11587">
            <w:pPr>
              <w:autoSpaceDE w:val="0"/>
              <w:autoSpaceDN w:val="0"/>
              <w:adjustRightInd w:val="0"/>
              <w:ind w:right="56"/>
              <w:jc w:val="center"/>
              <w:rPr>
                <w:sz w:val="20"/>
                <w:szCs w:val="20"/>
              </w:rPr>
            </w:pPr>
            <w:r w:rsidRPr="00D50E91">
              <w:rPr>
                <w:sz w:val="20"/>
                <w:szCs w:val="20"/>
              </w:rPr>
              <w:t>5</w:t>
            </w:r>
            <w:r w:rsidR="003528A8">
              <w:rPr>
                <w:sz w:val="20"/>
                <w:szCs w:val="20"/>
              </w:rPr>
              <w:t>-</w:t>
            </w:r>
            <w:r w:rsidRPr="00D50E91">
              <w:rPr>
                <w:sz w:val="20"/>
                <w:szCs w:val="20"/>
              </w:rPr>
              <w:t>6</w:t>
            </w:r>
          </w:p>
        </w:tc>
        <w:tc>
          <w:tcPr>
            <w:tcW w:w="665" w:type="dxa"/>
            <w:vMerge w:val="restart"/>
            <w:tcBorders>
              <w:top w:val="single" w:sz="4" w:space="0" w:color="auto"/>
              <w:right w:val="single" w:sz="4" w:space="0" w:color="auto"/>
            </w:tcBorders>
          </w:tcPr>
          <w:p w:rsidR="005B415B" w:rsidRPr="00D50E91" w:rsidRDefault="005B415B" w:rsidP="00B11587">
            <w:pPr>
              <w:autoSpaceDE w:val="0"/>
              <w:autoSpaceDN w:val="0"/>
              <w:adjustRightInd w:val="0"/>
              <w:ind w:right="56"/>
              <w:jc w:val="center"/>
              <w:rPr>
                <w:sz w:val="20"/>
                <w:szCs w:val="20"/>
              </w:rPr>
            </w:pPr>
            <w:r w:rsidRPr="00D50E91">
              <w:rPr>
                <w:sz w:val="20"/>
                <w:szCs w:val="20"/>
              </w:rPr>
              <w:t>1</w:t>
            </w:r>
            <w:r w:rsidR="003528A8">
              <w:rPr>
                <w:sz w:val="20"/>
                <w:szCs w:val="20"/>
              </w:rPr>
              <w:t>-</w:t>
            </w:r>
            <w:r w:rsidRPr="00D50E91">
              <w:rPr>
                <w:sz w:val="20"/>
                <w:szCs w:val="20"/>
              </w:rPr>
              <w:t>2</w:t>
            </w:r>
          </w:p>
        </w:tc>
        <w:tc>
          <w:tcPr>
            <w:tcW w:w="666" w:type="dxa"/>
            <w:vMerge w:val="restart"/>
            <w:tcBorders>
              <w:top w:val="single" w:sz="4" w:space="0" w:color="auto"/>
              <w:right w:val="single" w:sz="4" w:space="0" w:color="auto"/>
            </w:tcBorders>
          </w:tcPr>
          <w:p w:rsidR="005B415B" w:rsidRPr="00D50E91" w:rsidRDefault="005B415B" w:rsidP="00B11587">
            <w:pPr>
              <w:autoSpaceDE w:val="0"/>
              <w:autoSpaceDN w:val="0"/>
              <w:adjustRightInd w:val="0"/>
              <w:ind w:right="56"/>
              <w:jc w:val="center"/>
              <w:rPr>
                <w:sz w:val="20"/>
                <w:szCs w:val="20"/>
              </w:rPr>
            </w:pPr>
            <w:r w:rsidRPr="00D50E91">
              <w:rPr>
                <w:sz w:val="20"/>
                <w:szCs w:val="20"/>
              </w:rPr>
              <w:t>3</w:t>
            </w:r>
            <w:r w:rsidR="003528A8">
              <w:rPr>
                <w:sz w:val="20"/>
                <w:szCs w:val="20"/>
              </w:rPr>
              <w:t>-</w:t>
            </w:r>
            <w:r w:rsidRPr="00D50E91">
              <w:rPr>
                <w:sz w:val="20"/>
                <w:szCs w:val="20"/>
              </w:rPr>
              <w:t>6</w:t>
            </w:r>
          </w:p>
        </w:tc>
        <w:tc>
          <w:tcPr>
            <w:tcW w:w="665" w:type="dxa"/>
            <w:vMerge w:val="restart"/>
            <w:tcBorders>
              <w:top w:val="single" w:sz="4" w:space="0" w:color="auto"/>
              <w:right w:val="single" w:sz="4" w:space="0" w:color="auto"/>
            </w:tcBorders>
          </w:tcPr>
          <w:p w:rsidR="005B415B" w:rsidRPr="00D50E91" w:rsidRDefault="005B415B" w:rsidP="00B11587">
            <w:pPr>
              <w:autoSpaceDE w:val="0"/>
              <w:autoSpaceDN w:val="0"/>
              <w:adjustRightInd w:val="0"/>
              <w:ind w:right="56"/>
              <w:jc w:val="center"/>
              <w:rPr>
                <w:sz w:val="20"/>
                <w:szCs w:val="20"/>
              </w:rPr>
            </w:pPr>
            <w:r w:rsidRPr="00D50E91">
              <w:rPr>
                <w:sz w:val="20"/>
                <w:szCs w:val="20"/>
              </w:rPr>
              <w:t>7</w:t>
            </w:r>
            <w:r w:rsidR="003528A8">
              <w:rPr>
                <w:sz w:val="20"/>
                <w:szCs w:val="20"/>
              </w:rPr>
              <w:t>-</w:t>
            </w:r>
            <w:r w:rsidRPr="00D50E91">
              <w:rPr>
                <w:sz w:val="20"/>
                <w:szCs w:val="20"/>
              </w:rPr>
              <w:t>15</w:t>
            </w:r>
          </w:p>
        </w:tc>
        <w:tc>
          <w:tcPr>
            <w:tcW w:w="665" w:type="dxa"/>
            <w:vMerge w:val="restart"/>
            <w:tcBorders>
              <w:top w:val="single" w:sz="4" w:space="0" w:color="auto"/>
              <w:right w:val="single" w:sz="4" w:space="0" w:color="auto"/>
            </w:tcBorders>
            <w:shd w:val="clear" w:color="auto" w:fill="BFBFBF"/>
          </w:tcPr>
          <w:p w:rsidR="005B415B" w:rsidRPr="00D50E91" w:rsidRDefault="005B415B" w:rsidP="00B11587">
            <w:pPr>
              <w:autoSpaceDE w:val="0"/>
              <w:autoSpaceDN w:val="0"/>
              <w:adjustRightInd w:val="0"/>
              <w:ind w:right="56"/>
              <w:jc w:val="center"/>
              <w:rPr>
                <w:sz w:val="20"/>
                <w:szCs w:val="20"/>
              </w:rPr>
            </w:pPr>
            <w:r w:rsidRPr="00D50E91">
              <w:rPr>
                <w:sz w:val="20"/>
                <w:szCs w:val="20"/>
              </w:rPr>
              <w:t>1</w:t>
            </w:r>
            <w:r w:rsidR="003528A8">
              <w:rPr>
                <w:sz w:val="20"/>
                <w:szCs w:val="20"/>
              </w:rPr>
              <w:t>-</w:t>
            </w:r>
            <w:r w:rsidRPr="00D50E91">
              <w:rPr>
                <w:sz w:val="20"/>
                <w:szCs w:val="20"/>
              </w:rPr>
              <w:t>2</w:t>
            </w:r>
          </w:p>
        </w:tc>
        <w:tc>
          <w:tcPr>
            <w:tcW w:w="665" w:type="dxa"/>
            <w:vMerge w:val="restart"/>
            <w:tcBorders>
              <w:top w:val="single" w:sz="4" w:space="0" w:color="auto"/>
              <w:right w:val="single" w:sz="4" w:space="0" w:color="auto"/>
            </w:tcBorders>
            <w:shd w:val="clear" w:color="auto" w:fill="BFBFBF"/>
          </w:tcPr>
          <w:p w:rsidR="005B415B" w:rsidRPr="00D50E91" w:rsidRDefault="005B415B" w:rsidP="00B11587">
            <w:pPr>
              <w:autoSpaceDE w:val="0"/>
              <w:autoSpaceDN w:val="0"/>
              <w:adjustRightInd w:val="0"/>
              <w:ind w:right="56"/>
              <w:jc w:val="center"/>
              <w:rPr>
                <w:sz w:val="20"/>
                <w:szCs w:val="20"/>
              </w:rPr>
            </w:pPr>
            <w:r w:rsidRPr="00D50E91">
              <w:rPr>
                <w:sz w:val="20"/>
                <w:szCs w:val="20"/>
              </w:rPr>
              <w:t>3</w:t>
            </w:r>
            <w:r w:rsidR="003528A8">
              <w:rPr>
                <w:sz w:val="20"/>
                <w:szCs w:val="20"/>
              </w:rPr>
              <w:t>-</w:t>
            </w:r>
            <w:r w:rsidRPr="00D50E91">
              <w:rPr>
                <w:sz w:val="20"/>
                <w:szCs w:val="20"/>
              </w:rPr>
              <w:t>15</w:t>
            </w:r>
          </w:p>
        </w:tc>
        <w:tc>
          <w:tcPr>
            <w:tcW w:w="665" w:type="dxa"/>
            <w:vMerge w:val="restart"/>
            <w:tcBorders>
              <w:top w:val="single" w:sz="4" w:space="0" w:color="auto"/>
              <w:right w:val="single" w:sz="4" w:space="0" w:color="auto"/>
            </w:tcBorders>
            <w:shd w:val="clear" w:color="auto" w:fill="BFBFBF"/>
          </w:tcPr>
          <w:p w:rsidR="005B415B" w:rsidRPr="00D50E91" w:rsidRDefault="005B415B" w:rsidP="00B11587">
            <w:pPr>
              <w:autoSpaceDE w:val="0"/>
              <w:autoSpaceDN w:val="0"/>
              <w:adjustRightInd w:val="0"/>
              <w:ind w:right="56"/>
              <w:jc w:val="center"/>
              <w:rPr>
                <w:sz w:val="20"/>
                <w:szCs w:val="20"/>
              </w:rPr>
            </w:pPr>
            <w:r w:rsidRPr="00D50E91">
              <w:rPr>
                <w:sz w:val="20"/>
                <w:szCs w:val="20"/>
              </w:rPr>
              <w:t>&gt;15</w:t>
            </w:r>
          </w:p>
        </w:tc>
      </w:tr>
      <w:tr w:rsidR="005B415B" w:rsidRPr="00D50E91" w:rsidTr="00B11587">
        <w:trPr>
          <w:trHeight w:val="230"/>
        </w:trPr>
        <w:tc>
          <w:tcPr>
            <w:tcW w:w="400" w:type="dxa"/>
            <w:vMerge/>
            <w:tcBorders>
              <w:left w:val="single" w:sz="4" w:space="0" w:color="auto"/>
              <w:bottom w:val="single" w:sz="4" w:space="0" w:color="auto"/>
              <w:right w:val="single" w:sz="4" w:space="0" w:color="auto"/>
            </w:tcBorders>
          </w:tcPr>
          <w:p w:rsidR="005B415B" w:rsidRPr="00D50E91" w:rsidRDefault="005B415B" w:rsidP="00B11587">
            <w:pPr>
              <w:autoSpaceDE w:val="0"/>
              <w:autoSpaceDN w:val="0"/>
              <w:adjustRightInd w:val="0"/>
              <w:ind w:left="56" w:right="56"/>
              <w:jc w:val="center"/>
              <w:rPr>
                <w:sz w:val="20"/>
                <w:szCs w:val="20"/>
              </w:rPr>
            </w:pPr>
          </w:p>
        </w:tc>
        <w:tc>
          <w:tcPr>
            <w:tcW w:w="5880" w:type="dxa"/>
            <w:gridSpan w:val="2"/>
            <w:vMerge/>
            <w:tcBorders>
              <w:left w:val="single" w:sz="4" w:space="0" w:color="auto"/>
              <w:bottom w:val="single" w:sz="4" w:space="0" w:color="auto"/>
              <w:right w:val="single" w:sz="4" w:space="0" w:color="auto"/>
            </w:tcBorders>
          </w:tcPr>
          <w:p w:rsidR="005B415B" w:rsidRPr="00D50E91" w:rsidRDefault="005B415B" w:rsidP="00B11587">
            <w:pPr>
              <w:autoSpaceDE w:val="0"/>
              <w:autoSpaceDN w:val="0"/>
              <w:adjustRightInd w:val="0"/>
              <w:ind w:left="56" w:right="56"/>
              <w:jc w:val="center"/>
              <w:rPr>
                <w:sz w:val="20"/>
                <w:szCs w:val="20"/>
              </w:rPr>
            </w:pPr>
          </w:p>
        </w:tc>
        <w:tc>
          <w:tcPr>
            <w:tcW w:w="904" w:type="dxa"/>
            <w:vMerge/>
            <w:tcBorders>
              <w:left w:val="single" w:sz="4" w:space="0" w:color="auto"/>
              <w:bottom w:val="single" w:sz="4" w:space="0" w:color="auto"/>
              <w:right w:val="single" w:sz="4" w:space="0" w:color="auto"/>
            </w:tcBorders>
          </w:tcPr>
          <w:p w:rsidR="005B415B" w:rsidRPr="00D50E91" w:rsidRDefault="005B415B" w:rsidP="00B11587">
            <w:pPr>
              <w:autoSpaceDE w:val="0"/>
              <w:autoSpaceDN w:val="0"/>
              <w:adjustRightInd w:val="0"/>
              <w:ind w:right="56"/>
              <w:jc w:val="center"/>
              <w:rPr>
                <w:sz w:val="20"/>
                <w:szCs w:val="20"/>
              </w:rPr>
            </w:pPr>
          </w:p>
        </w:tc>
        <w:tc>
          <w:tcPr>
            <w:tcW w:w="665" w:type="dxa"/>
            <w:tcBorders>
              <w:top w:val="single" w:sz="4" w:space="0" w:color="auto"/>
              <w:bottom w:val="single" w:sz="4" w:space="0" w:color="auto"/>
              <w:right w:val="single" w:sz="4" w:space="0" w:color="auto"/>
            </w:tcBorders>
          </w:tcPr>
          <w:p w:rsidR="005B415B" w:rsidRPr="00D50E91" w:rsidRDefault="005B415B" w:rsidP="00B11587">
            <w:pPr>
              <w:autoSpaceDE w:val="0"/>
              <w:autoSpaceDN w:val="0"/>
              <w:adjustRightInd w:val="0"/>
              <w:ind w:right="56"/>
              <w:jc w:val="center"/>
              <w:rPr>
                <w:sz w:val="20"/>
                <w:szCs w:val="20"/>
              </w:rPr>
            </w:pPr>
            <w:r w:rsidRPr="00D50E91">
              <w:rPr>
                <w:sz w:val="20"/>
                <w:szCs w:val="20"/>
              </w:rPr>
              <w:t>1</w:t>
            </w:r>
            <w:r w:rsidR="003528A8">
              <w:rPr>
                <w:sz w:val="20"/>
                <w:szCs w:val="20"/>
              </w:rPr>
              <w:t>-</w:t>
            </w:r>
            <w:r w:rsidRPr="00D50E91">
              <w:rPr>
                <w:sz w:val="20"/>
                <w:szCs w:val="20"/>
              </w:rPr>
              <w:t>3</w:t>
            </w:r>
          </w:p>
          <w:p w:rsidR="005B415B" w:rsidRPr="00D50E91" w:rsidRDefault="005B415B" w:rsidP="00B11587">
            <w:pPr>
              <w:autoSpaceDE w:val="0"/>
              <w:autoSpaceDN w:val="0"/>
              <w:adjustRightInd w:val="0"/>
              <w:ind w:right="56"/>
              <w:jc w:val="center"/>
              <w:rPr>
                <w:sz w:val="14"/>
                <w:szCs w:val="14"/>
              </w:rPr>
            </w:pPr>
            <w:r w:rsidRPr="00D50E91">
              <w:rPr>
                <w:sz w:val="14"/>
                <w:szCs w:val="14"/>
              </w:rPr>
              <w:t>lakó alaprend. esetén</w:t>
            </w:r>
          </w:p>
        </w:tc>
        <w:tc>
          <w:tcPr>
            <w:tcW w:w="665" w:type="dxa"/>
            <w:tcBorders>
              <w:top w:val="single" w:sz="4" w:space="0" w:color="auto"/>
              <w:bottom w:val="single" w:sz="4" w:space="0" w:color="auto"/>
              <w:right w:val="single" w:sz="4" w:space="0" w:color="auto"/>
            </w:tcBorders>
          </w:tcPr>
          <w:p w:rsidR="005B415B" w:rsidRPr="00D50E91" w:rsidRDefault="005B415B" w:rsidP="00B11587">
            <w:pPr>
              <w:autoSpaceDE w:val="0"/>
              <w:autoSpaceDN w:val="0"/>
              <w:adjustRightInd w:val="0"/>
              <w:ind w:right="56"/>
              <w:jc w:val="center"/>
              <w:rPr>
                <w:sz w:val="20"/>
                <w:szCs w:val="20"/>
              </w:rPr>
            </w:pPr>
            <w:r w:rsidRPr="00D50E91">
              <w:rPr>
                <w:sz w:val="20"/>
                <w:szCs w:val="20"/>
              </w:rPr>
              <w:t>1</w:t>
            </w:r>
            <w:r w:rsidR="003528A8">
              <w:rPr>
                <w:sz w:val="20"/>
                <w:szCs w:val="20"/>
              </w:rPr>
              <w:t>-</w:t>
            </w:r>
            <w:r w:rsidRPr="00D50E91">
              <w:rPr>
                <w:sz w:val="20"/>
                <w:szCs w:val="20"/>
              </w:rPr>
              <w:t>3</w:t>
            </w:r>
          </w:p>
          <w:p w:rsidR="005B415B" w:rsidRPr="00D50E91" w:rsidRDefault="005B415B" w:rsidP="00B11587">
            <w:pPr>
              <w:autoSpaceDE w:val="0"/>
              <w:autoSpaceDN w:val="0"/>
              <w:adjustRightInd w:val="0"/>
              <w:ind w:right="56"/>
              <w:jc w:val="center"/>
              <w:rPr>
                <w:sz w:val="20"/>
                <w:szCs w:val="20"/>
              </w:rPr>
            </w:pPr>
            <w:r w:rsidRPr="00D50E91">
              <w:rPr>
                <w:sz w:val="14"/>
                <w:szCs w:val="20"/>
              </w:rPr>
              <w:t>Közösségi alaprend. esetén</w:t>
            </w:r>
          </w:p>
        </w:tc>
        <w:tc>
          <w:tcPr>
            <w:tcW w:w="665" w:type="dxa"/>
            <w:vMerge/>
            <w:tcBorders>
              <w:bottom w:val="single" w:sz="4" w:space="0" w:color="auto"/>
              <w:right w:val="single" w:sz="4" w:space="0" w:color="auto"/>
            </w:tcBorders>
          </w:tcPr>
          <w:p w:rsidR="005B415B" w:rsidRPr="00D50E91" w:rsidRDefault="005B415B" w:rsidP="00B11587">
            <w:pPr>
              <w:tabs>
                <w:tab w:val="left" w:pos="254"/>
                <w:tab w:val="center" w:pos="398"/>
              </w:tabs>
              <w:autoSpaceDE w:val="0"/>
              <w:autoSpaceDN w:val="0"/>
              <w:adjustRightInd w:val="0"/>
              <w:ind w:right="56"/>
              <w:rPr>
                <w:sz w:val="20"/>
                <w:szCs w:val="20"/>
              </w:rPr>
            </w:pPr>
          </w:p>
        </w:tc>
        <w:tc>
          <w:tcPr>
            <w:tcW w:w="665" w:type="dxa"/>
            <w:vMerge/>
            <w:tcBorders>
              <w:bottom w:val="single" w:sz="4" w:space="0" w:color="auto"/>
              <w:right w:val="single" w:sz="4" w:space="0" w:color="auto"/>
            </w:tcBorders>
            <w:shd w:val="clear" w:color="auto" w:fill="BFBFBF"/>
          </w:tcPr>
          <w:p w:rsidR="005B415B" w:rsidRPr="00D50E91" w:rsidRDefault="005B415B" w:rsidP="00B11587">
            <w:pPr>
              <w:autoSpaceDE w:val="0"/>
              <w:autoSpaceDN w:val="0"/>
              <w:adjustRightInd w:val="0"/>
              <w:ind w:right="56"/>
              <w:jc w:val="center"/>
              <w:rPr>
                <w:sz w:val="20"/>
                <w:szCs w:val="20"/>
              </w:rPr>
            </w:pPr>
          </w:p>
        </w:tc>
        <w:tc>
          <w:tcPr>
            <w:tcW w:w="714" w:type="dxa"/>
            <w:gridSpan w:val="2"/>
            <w:vMerge/>
            <w:tcBorders>
              <w:bottom w:val="single" w:sz="4" w:space="0" w:color="auto"/>
              <w:right w:val="single" w:sz="4" w:space="0" w:color="auto"/>
            </w:tcBorders>
            <w:shd w:val="clear" w:color="auto" w:fill="BFBFBF"/>
          </w:tcPr>
          <w:p w:rsidR="005B415B" w:rsidRPr="00D50E91" w:rsidRDefault="005B415B" w:rsidP="00B11587">
            <w:pPr>
              <w:autoSpaceDE w:val="0"/>
              <w:autoSpaceDN w:val="0"/>
              <w:adjustRightInd w:val="0"/>
              <w:ind w:right="56"/>
              <w:jc w:val="center"/>
              <w:rPr>
                <w:sz w:val="20"/>
                <w:szCs w:val="20"/>
              </w:rPr>
            </w:pPr>
          </w:p>
        </w:tc>
        <w:tc>
          <w:tcPr>
            <w:tcW w:w="832" w:type="dxa"/>
            <w:gridSpan w:val="2"/>
            <w:vMerge/>
            <w:tcBorders>
              <w:bottom w:val="single" w:sz="4" w:space="0" w:color="auto"/>
              <w:right w:val="single" w:sz="4" w:space="0" w:color="auto"/>
            </w:tcBorders>
            <w:shd w:val="clear" w:color="auto" w:fill="BFBFBF"/>
          </w:tcPr>
          <w:p w:rsidR="005B415B" w:rsidRPr="00D50E91" w:rsidRDefault="005B415B" w:rsidP="00B11587">
            <w:pPr>
              <w:autoSpaceDE w:val="0"/>
              <w:autoSpaceDN w:val="0"/>
              <w:adjustRightInd w:val="0"/>
              <w:ind w:right="56"/>
              <w:jc w:val="center"/>
              <w:rPr>
                <w:sz w:val="20"/>
                <w:szCs w:val="20"/>
              </w:rPr>
            </w:pPr>
          </w:p>
        </w:tc>
        <w:tc>
          <w:tcPr>
            <w:tcW w:w="665" w:type="dxa"/>
            <w:vMerge/>
            <w:tcBorders>
              <w:bottom w:val="single" w:sz="4" w:space="0" w:color="auto"/>
              <w:right w:val="single" w:sz="4" w:space="0" w:color="auto"/>
            </w:tcBorders>
          </w:tcPr>
          <w:p w:rsidR="005B415B" w:rsidRPr="00D50E91" w:rsidRDefault="005B415B" w:rsidP="00B11587">
            <w:pPr>
              <w:autoSpaceDE w:val="0"/>
              <w:autoSpaceDN w:val="0"/>
              <w:adjustRightInd w:val="0"/>
              <w:ind w:right="56"/>
              <w:jc w:val="center"/>
              <w:rPr>
                <w:sz w:val="20"/>
                <w:szCs w:val="20"/>
              </w:rPr>
            </w:pPr>
          </w:p>
        </w:tc>
        <w:tc>
          <w:tcPr>
            <w:tcW w:w="666" w:type="dxa"/>
            <w:vMerge/>
            <w:tcBorders>
              <w:bottom w:val="single" w:sz="4" w:space="0" w:color="auto"/>
              <w:right w:val="single" w:sz="4" w:space="0" w:color="auto"/>
            </w:tcBorders>
          </w:tcPr>
          <w:p w:rsidR="005B415B" w:rsidRPr="00D50E91" w:rsidRDefault="005B415B" w:rsidP="00B11587">
            <w:pPr>
              <w:autoSpaceDE w:val="0"/>
              <w:autoSpaceDN w:val="0"/>
              <w:adjustRightInd w:val="0"/>
              <w:ind w:right="56"/>
              <w:jc w:val="center"/>
              <w:rPr>
                <w:sz w:val="20"/>
                <w:szCs w:val="20"/>
              </w:rPr>
            </w:pPr>
          </w:p>
        </w:tc>
        <w:tc>
          <w:tcPr>
            <w:tcW w:w="665" w:type="dxa"/>
            <w:vMerge/>
            <w:tcBorders>
              <w:bottom w:val="single" w:sz="4" w:space="0" w:color="auto"/>
              <w:right w:val="single" w:sz="4" w:space="0" w:color="auto"/>
            </w:tcBorders>
          </w:tcPr>
          <w:p w:rsidR="005B415B" w:rsidRPr="00D50E91" w:rsidRDefault="005B415B" w:rsidP="00B11587">
            <w:pPr>
              <w:autoSpaceDE w:val="0"/>
              <w:autoSpaceDN w:val="0"/>
              <w:adjustRightInd w:val="0"/>
              <w:ind w:right="56"/>
              <w:jc w:val="center"/>
              <w:rPr>
                <w:sz w:val="20"/>
                <w:szCs w:val="20"/>
              </w:rPr>
            </w:pPr>
          </w:p>
        </w:tc>
        <w:tc>
          <w:tcPr>
            <w:tcW w:w="665" w:type="dxa"/>
            <w:vMerge/>
            <w:tcBorders>
              <w:bottom w:val="single" w:sz="4" w:space="0" w:color="auto"/>
              <w:right w:val="single" w:sz="4" w:space="0" w:color="auto"/>
            </w:tcBorders>
            <w:shd w:val="clear" w:color="auto" w:fill="BFBFBF"/>
          </w:tcPr>
          <w:p w:rsidR="005B415B" w:rsidRPr="00D50E91" w:rsidRDefault="005B415B" w:rsidP="00B11587">
            <w:pPr>
              <w:autoSpaceDE w:val="0"/>
              <w:autoSpaceDN w:val="0"/>
              <w:adjustRightInd w:val="0"/>
              <w:ind w:right="56"/>
              <w:jc w:val="center"/>
              <w:rPr>
                <w:sz w:val="20"/>
                <w:szCs w:val="20"/>
              </w:rPr>
            </w:pPr>
          </w:p>
        </w:tc>
        <w:tc>
          <w:tcPr>
            <w:tcW w:w="665" w:type="dxa"/>
            <w:vMerge/>
            <w:tcBorders>
              <w:bottom w:val="single" w:sz="4" w:space="0" w:color="auto"/>
              <w:right w:val="single" w:sz="4" w:space="0" w:color="auto"/>
            </w:tcBorders>
            <w:shd w:val="clear" w:color="auto" w:fill="BFBFBF"/>
          </w:tcPr>
          <w:p w:rsidR="005B415B" w:rsidRPr="00D50E91" w:rsidRDefault="005B415B" w:rsidP="00B11587">
            <w:pPr>
              <w:autoSpaceDE w:val="0"/>
              <w:autoSpaceDN w:val="0"/>
              <w:adjustRightInd w:val="0"/>
              <w:ind w:right="56"/>
              <w:jc w:val="center"/>
              <w:rPr>
                <w:sz w:val="20"/>
                <w:szCs w:val="20"/>
              </w:rPr>
            </w:pPr>
          </w:p>
        </w:tc>
        <w:tc>
          <w:tcPr>
            <w:tcW w:w="665" w:type="dxa"/>
            <w:vMerge/>
            <w:tcBorders>
              <w:bottom w:val="single" w:sz="4" w:space="0" w:color="auto"/>
              <w:right w:val="single" w:sz="4" w:space="0" w:color="auto"/>
            </w:tcBorders>
            <w:shd w:val="clear" w:color="auto" w:fill="BFBFBF"/>
          </w:tcPr>
          <w:p w:rsidR="005B415B" w:rsidRPr="00D50E91" w:rsidRDefault="005B415B" w:rsidP="00B11587">
            <w:pPr>
              <w:autoSpaceDE w:val="0"/>
              <w:autoSpaceDN w:val="0"/>
              <w:adjustRightInd w:val="0"/>
              <w:ind w:right="56"/>
              <w:jc w:val="center"/>
              <w:rPr>
                <w:sz w:val="20"/>
                <w:szCs w:val="20"/>
              </w:rPr>
            </w:pPr>
          </w:p>
        </w:tc>
      </w:tr>
      <w:tr w:rsidR="005B415B" w:rsidRPr="00D50E91" w:rsidTr="00B11587">
        <w:trPr>
          <w:trHeight w:val="273"/>
        </w:trPr>
        <w:tc>
          <w:tcPr>
            <w:tcW w:w="400" w:type="dxa"/>
            <w:tcBorders>
              <w:top w:val="single" w:sz="4" w:space="0" w:color="auto"/>
              <w:left w:val="single" w:sz="4" w:space="0" w:color="auto"/>
              <w:bottom w:val="single" w:sz="4" w:space="0" w:color="auto"/>
              <w:right w:val="single" w:sz="4" w:space="0" w:color="auto"/>
            </w:tcBorders>
          </w:tcPr>
          <w:p w:rsidR="005B415B" w:rsidRPr="00D50E91" w:rsidRDefault="005B415B" w:rsidP="00B11587">
            <w:pPr>
              <w:autoSpaceDE w:val="0"/>
              <w:autoSpaceDN w:val="0"/>
              <w:adjustRightInd w:val="0"/>
              <w:ind w:left="56" w:right="56"/>
              <w:jc w:val="center"/>
              <w:rPr>
                <w:b/>
                <w:sz w:val="20"/>
                <w:szCs w:val="20"/>
              </w:rPr>
            </w:pPr>
            <w:r w:rsidRPr="00D50E91">
              <w:rPr>
                <w:b/>
                <w:sz w:val="20"/>
                <w:szCs w:val="20"/>
              </w:rPr>
              <w:t xml:space="preserve"> 3</w:t>
            </w:r>
          </w:p>
        </w:tc>
        <w:tc>
          <w:tcPr>
            <w:tcW w:w="5880" w:type="dxa"/>
            <w:gridSpan w:val="2"/>
            <w:tcBorders>
              <w:top w:val="single" w:sz="4" w:space="0" w:color="auto"/>
              <w:left w:val="single" w:sz="4" w:space="0" w:color="auto"/>
              <w:bottom w:val="single" w:sz="4" w:space="0" w:color="auto"/>
              <w:right w:val="single" w:sz="4" w:space="0" w:color="auto"/>
            </w:tcBorders>
          </w:tcPr>
          <w:p w:rsidR="005B415B" w:rsidRPr="00D50E91" w:rsidRDefault="005B415B" w:rsidP="00B11587">
            <w:pPr>
              <w:autoSpaceDE w:val="0"/>
              <w:autoSpaceDN w:val="0"/>
              <w:adjustRightInd w:val="0"/>
              <w:ind w:left="56" w:right="56"/>
              <w:jc w:val="center"/>
              <w:rPr>
                <w:b/>
                <w:sz w:val="20"/>
                <w:szCs w:val="20"/>
              </w:rPr>
            </w:pPr>
            <w:r w:rsidRPr="00D50E91">
              <w:rPr>
                <w:b/>
                <w:sz w:val="20"/>
                <w:szCs w:val="20"/>
              </w:rPr>
              <w:t>Építményszerkezet</w:t>
            </w:r>
          </w:p>
        </w:tc>
        <w:tc>
          <w:tcPr>
            <w:tcW w:w="904" w:type="dxa"/>
            <w:tcBorders>
              <w:top w:val="single" w:sz="4" w:space="0" w:color="auto"/>
              <w:left w:val="single" w:sz="4" w:space="0" w:color="auto"/>
              <w:bottom w:val="single" w:sz="4" w:space="0" w:color="auto"/>
              <w:right w:val="single" w:sz="4" w:space="0" w:color="auto"/>
            </w:tcBorders>
          </w:tcPr>
          <w:p w:rsidR="005B415B" w:rsidRPr="00D50E91" w:rsidRDefault="005B415B" w:rsidP="00B11587">
            <w:pPr>
              <w:jc w:val="center"/>
              <w:rPr>
                <w:b/>
                <w:sz w:val="20"/>
                <w:szCs w:val="20"/>
              </w:rPr>
            </w:pPr>
            <w:r w:rsidRPr="00D50E91">
              <w:rPr>
                <w:b/>
                <w:sz w:val="20"/>
                <w:szCs w:val="20"/>
              </w:rPr>
              <w:t>Kritérium</w:t>
            </w:r>
          </w:p>
        </w:tc>
        <w:tc>
          <w:tcPr>
            <w:tcW w:w="8197" w:type="dxa"/>
            <w:gridSpan w:val="14"/>
            <w:tcBorders>
              <w:top w:val="single" w:sz="4" w:space="0" w:color="auto"/>
              <w:bottom w:val="single" w:sz="4" w:space="0" w:color="auto"/>
              <w:right w:val="single" w:sz="4" w:space="0" w:color="auto"/>
            </w:tcBorders>
          </w:tcPr>
          <w:p w:rsidR="005B415B" w:rsidRPr="00D50E91" w:rsidRDefault="005B415B" w:rsidP="00B11587">
            <w:pPr>
              <w:jc w:val="center"/>
              <w:rPr>
                <w:b/>
                <w:sz w:val="20"/>
                <w:szCs w:val="20"/>
              </w:rPr>
            </w:pPr>
            <w:r w:rsidRPr="00D50E91">
              <w:rPr>
                <w:b/>
                <w:sz w:val="20"/>
                <w:szCs w:val="20"/>
              </w:rPr>
              <w:t>Elvárt tűzállósági teljesítmény és tűzvédelmi osztály</w:t>
            </w:r>
          </w:p>
        </w:tc>
      </w:tr>
      <w:tr w:rsidR="005B415B" w:rsidRPr="00D50E91" w:rsidTr="00B11587">
        <w:tc>
          <w:tcPr>
            <w:tcW w:w="400" w:type="dxa"/>
            <w:tcBorders>
              <w:top w:val="single" w:sz="4" w:space="0" w:color="auto"/>
              <w:left w:val="single" w:sz="4" w:space="0" w:color="auto"/>
              <w:bottom w:val="single" w:sz="4" w:space="0" w:color="auto"/>
              <w:right w:val="single" w:sz="4" w:space="0" w:color="auto"/>
            </w:tcBorders>
          </w:tcPr>
          <w:p w:rsidR="005B415B" w:rsidRPr="00D50E91" w:rsidRDefault="005B415B" w:rsidP="00B11587">
            <w:pPr>
              <w:autoSpaceDE w:val="0"/>
              <w:autoSpaceDN w:val="0"/>
              <w:adjustRightInd w:val="0"/>
              <w:ind w:left="56" w:right="56"/>
              <w:jc w:val="center"/>
              <w:rPr>
                <w:sz w:val="20"/>
                <w:szCs w:val="20"/>
              </w:rPr>
            </w:pPr>
            <w:r w:rsidRPr="00D50E91">
              <w:rPr>
                <w:sz w:val="20"/>
                <w:szCs w:val="20"/>
              </w:rPr>
              <w:t xml:space="preserve"> 4</w:t>
            </w:r>
          </w:p>
        </w:tc>
        <w:tc>
          <w:tcPr>
            <w:tcW w:w="5880" w:type="dxa"/>
            <w:gridSpan w:val="2"/>
            <w:tcBorders>
              <w:top w:val="single" w:sz="4" w:space="0" w:color="auto"/>
              <w:left w:val="single" w:sz="4" w:space="0" w:color="auto"/>
              <w:bottom w:val="single" w:sz="4" w:space="0" w:color="auto"/>
              <w:right w:val="single" w:sz="4" w:space="0" w:color="auto"/>
            </w:tcBorders>
            <w:vAlign w:val="center"/>
          </w:tcPr>
          <w:p w:rsidR="005B415B" w:rsidRPr="00D50E91" w:rsidRDefault="003D757E" w:rsidP="00B11587">
            <w:pPr>
              <w:autoSpaceDE w:val="0"/>
              <w:autoSpaceDN w:val="0"/>
              <w:adjustRightInd w:val="0"/>
              <w:ind w:left="56" w:right="56"/>
              <w:jc w:val="both"/>
              <w:rPr>
                <w:sz w:val="20"/>
                <w:szCs w:val="20"/>
              </w:rPr>
            </w:pPr>
            <w:r w:rsidRPr="00D50E91">
              <w:rPr>
                <w:sz w:val="20"/>
                <w:szCs w:val="20"/>
              </w:rPr>
              <w:t xml:space="preserve"> </w:t>
            </w:r>
            <w:r w:rsidR="005B415B" w:rsidRPr="00D50E91">
              <w:rPr>
                <w:sz w:val="20"/>
                <w:szCs w:val="20"/>
              </w:rPr>
              <w:t>Teherhordó építményszerkezetek, a födémek és a legfelső szint lefedését biztosító szerkezet kivételével</w:t>
            </w:r>
          </w:p>
          <w:p w:rsidR="005B415B" w:rsidRPr="00D50E91" w:rsidRDefault="005B415B" w:rsidP="00B11587">
            <w:pPr>
              <w:numPr>
                <w:ilvl w:val="0"/>
                <w:numId w:val="13"/>
              </w:numPr>
              <w:autoSpaceDE w:val="0"/>
              <w:autoSpaceDN w:val="0"/>
              <w:adjustRightInd w:val="0"/>
              <w:ind w:right="56"/>
              <w:rPr>
                <w:sz w:val="20"/>
                <w:szCs w:val="20"/>
              </w:rPr>
            </w:pPr>
            <w:r w:rsidRPr="00D50E91">
              <w:rPr>
                <w:sz w:val="20"/>
                <w:szCs w:val="20"/>
              </w:rPr>
              <w:t>a tűzterjedésgátlásban szerepet játszó falakra EI kritérium is vonatkozik</w:t>
            </w:r>
          </w:p>
          <w:p w:rsidR="005B415B" w:rsidRPr="00D50E91" w:rsidRDefault="005B415B" w:rsidP="00B11587">
            <w:pPr>
              <w:numPr>
                <w:ilvl w:val="0"/>
                <w:numId w:val="13"/>
              </w:numPr>
              <w:autoSpaceDE w:val="0"/>
              <w:autoSpaceDN w:val="0"/>
              <w:adjustRightInd w:val="0"/>
              <w:ind w:right="56"/>
              <w:jc w:val="both"/>
              <w:rPr>
                <w:sz w:val="20"/>
                <w:szCs w:val="20"/>
              </w:rPr>
            </w:pPr>
            <w:r w:rsidRPr="00D50E91">
              <w:rPr>
                <w:sz w:val="20"/>
                <w:szCs w:val="20"/>
              </w:rPr>
              <w:t>a pinceszinti szerkezetek tűzvédelmi osztálykövetelménye legalább A2, tűzállósági teljesítménykövetelménye legalább R30</w:t>
            </w:r>
          </w:p>
        </w:tc>
        <w:tc>
          <w:tcPr>
            <w:tcW w:w="904" w:type="dxa"/>
            <w:tcBorders>
              <w:top w:val="single" w:sz="4" w:space="0" w:color="auto"/>
              <w:left w:val="single" w:sz="4" w:space="0" w:color="auto"/>
              <w:bottom w:val="single" w:sz="4" w:space="0" w:color="auto"/>
              <w:right w:val="single" w:sz="4" w:space="0" w:color="auto"/>
            </w:tcBorders>
          </w:tcPr>
          <w:p w:rsidR="005B415B" w:rsidRPr="00D50E91" w:rsidRDefault="005B415B" w:rsidP="00B11587">
            <w:pPr>
              <w:autoSpaceDE w:val="0"/>
              <w:autoSpaceDN w:val="0"/>
              <w:adjustRightInd w:val="0"/>
              <w:ind w:right="56"/>
              <w:jc w:val="center"/>
              <w:rPr>
                <w:sz w:val="20"/>
                <w:szCs w:val="20"/>
              </w:rPr>
            </w:pPr>
            <w:r w:rsidRPr="00D50E91">
              <w:rPr>
                <w:sz w:val="20"/>
                <w:szCs w:val="20"/>
              </w:rPr>
              <w:t>R</w:t>
            </w:r>
          </w:p>
        </w:tc>
        <w:tc>
          <w:tcPr>
            <w:tcW w:w="665" w:type="dxa"/>
            <w:tcBorders>
              <w:top w:val="single" w:sz="4" w:space="0" w:color="auto"/>
              <w:bottom w:val="single" w:sz="4" w:space="0" w:color="auto"/>
              <w:right w:val="single" w:sz="4" w:space="0" w:color="auto"/>
            </w:tcBorders>
          </w:tcPr>
          <w:p w:rsidR="005B415B" w:rsidRPr="00D50E91" w:rsidRDefault="005B415B" w:rsidP="00B11587">
            <w:pPr>
              <w:jc w:val="center"/>
              <w:rPr>
                <w:sz w:val="20"/>
                <w:szCs w:val="20"/>
              </w:rPr>
            </w:pPr>
            <w:r w:rsidRPr="00D50E91">
              <w:rPr>
                <w:sz w:val="20"/>
                <w:szCs w:val="20"/>
              </w:rPr>
              <w:t xml:space="preserve">15 </w:t>
            </w:r>
          </w:p>
          <w:p w:rsidR="005B415B" w:rsidRPr="00D50E91" w:rsidRDefault="005B415B" w:rsidP="00B11587">
            <w:pPr>
              <w:jc w:val="center"/>
              <w:rPr>
                <w:sz w:val="20"/>
                <w:szCs w:val="20"/>
              </w:rPr>
            </w:pPr>
            <w:r w:rsidRPr="00D50E91">
              <w:rPr>
                <w:sz w:val="20"/>
                <w:szCs w:val="20"/>
              </w:rPr>
              <w:t>D</w:t>
            </w:r>
          </w:p>
        </w:tc>
        <w:tc>
          <w:tcPr>
            <w:tcW w:w="665" w:type="dxa"/>
            <w:tcBorders>
              <w:top w:val="single" w:sz="4" w:space="0" w:color="auto"/>
              <w:bottom w:val="single" w:sz="4" w:space="0" w:color="auto"/>
              <w:right w:val="single" w:sz="4" w:space="0" w:color="auto"/>
            </w:tcBorders>
          </w:tcPr>
          <w:p w:rsidR="005B415B" w:rsidRPr="00D50E91" w:rsidRDefault="005B415B" w:rsidP="00B11587">
            <w:pPr>
              <w:jc w:val="center"/>
              <w:rPr>
                <w:sz w:val="20"/>
                <w:szCs w:val="20"/>
              </w:rPr>
            </w:pPr>
            <w:r w:rsidRPr="00D50E91">
              <w:rPr>
                <w:sz w:val="20"/>
                <w:szCs w:val="20"/>
              </w:rPr>
              <w:t>30</w:t>
            </w:r>
          </w:p>
          <w:p w:rsidR="005B415B" w:rsidRPr="00D50E91" w:rsidRDefault="005B415B" w:rsidP="00B11587">
            <w:pPr>
              <w:jc w:val="center"/>
              <w:rPr>
                <w:sz w:val="20"/>
                <w:szCs w:val="20"/>
              </w:rPr>
            </w:pPr>
            <w:r w:rsidRPr="00D50E91">
              <w:rPr>
                <w:sz w:val="20"/>
                <w:szCs w:val="20"/>
              </w:rPr>
              <w:t>D</w:t>
            </w:r>
          </w:p>
        </w:tc>
        <w:tc>
          <w:tcPr>
            <w:tcW w:w="665" w:type="dxa"/>
            <w:tcBorders>
              <w:top w:val="single" w:sz="4" w:space="0" w:color="auto"/>
              <w:bottom w:val="single" w:sz="4" w:space="0" w:color="auto"/>
              <w:right w:val="single" w:sz="4" w:space="0" w:color="auto"/>
            </w:tcBorders>
          </w:tcPr>
          <w:p w:rsidR="005B415B" w:rsidRPr="00D50E91" w:rsidRDefault="005B415B" w:rsidP="00B11587">
            <w:pPr>
              <w:jc w:val="center"/>
              <w:rPr>
                <w:sz w:val="20"/>
                <w:szCs w:val="20"/>
              </w:rPr>
            </w:pPr>
            <w:r w:rsidRPr="00D50E91">
              <w:rPr>
                <w:sz w:val="20"/>
                <w:szCs w:val="20"/>
              </w:rPr>
              <w:t>60</w:t>
            </w:r>
          </w:p>
          <w:p w:rsidR="005B415B" w:rsidRPr="00D50E91" w:rsidRDefault="005B415B" w:rsidP="00B11587">
            <w:pPr>
              <w:jc w:val="center"/>
              <w:rPr>
                <w:sz w:val="20"/>
                <w:szCs w:val="20"/>
              </w:rPr>
            </w:pPr>
            <w:r w:rsidRPr="00D50E91">
              <w:rPr>
                <w:sz w:val="20"/>
                <w:szCs w:val="20"/>
              </w:rPr>
              <w:t>D</w:t>
            </w:r>
          </w:p>
          <w:p w:rsidR="005B415B" w:rsidRPr="00D50E91" w:rsidRDefault="005B415B" w:rsidP="00B11587">
            <w:pPr>
              <w:jc w:val="center"/>
              <w:rPr>
                <w:sz w:val="20"/>
                <w:szCs w:val="20"/>
              </w:rPr>
            </w:pPr>
          </w:p>
        </w:tc>
        <w:tc>
          <w:tcPr>
            <w:tcW w:w="665" w:type="dxa"/>
            <w:tcBorders>
              <w:top w:val="single" w:sz="4" w:space="0" w:color="auto"/>
              <w:bottom w:val="single" w:sz="4" w:space="0" w:color="auto"/>
              <w:right w:val="single" w:sz="4" w:space="0" w:color="auto"/>
            </w:tcBorders>
            <w:shd w:val="clear" w:color="auto" w:fill="BFBFBF"/>
          </w:tcPr>
          <w:p w:rsidR="005B415B" w:rsidRPr="00D50E91" w:rsidRDefault="005B415B" w:rsidP="00B11587">
            <w:pPr>
              <w:autoSpaceDE w:val="0"/>
              <w:autoSpaceDN w:val="0"/>
              <w:adjustRightInd w:val="0"/>
              <w:ind w:right="56"/>
              <w:jc w:val="center"/>
              <w:rPr>
                <w:sz w:val="20"/>
                <w:szCs w:val="20"/>
              </w:rPr>
            </w:pPr>
            <w:r w:rsidRPr="00D50E91">
              <w:rPr>
                <w:sz w:val="20"/>
                <w:szCs w:val="20"/>
              </w:rPr>
              <w:t>30</w:t>
            </w:r>
          </w:p>
          <w:p w:rsidR="005B415B" w:rsidRPr="00D50E91" w:rsidRDefault="005B415B" w:rsidP="00B11587">
            <w:pPr>
              <w:autoSpaceDE w:val="0"/>
              <w:autoSpaceDN w:val="0"/>
              <w:adjustRightInd w:val="0"/>
              <w:ind w:right="56"/>
              <w:jc w:val="center"/>
              <w:rPr>
                <w:sz w:val="20"/>
                <w:szCs w:val="20"/>
              </w:rPr>
            </w:pPr>
            <w:r w:rsidRPr="00D50E91">
              <w:rPr>
                <w:sz w:val="20"/>
                <w:szCs w:val="20"/>
              </w:rPr>
              <w:t>D</w:t>
            </w:r>
          </w:p>
          <w:p w:rsidR="005B415B" w:rsidRPr="00D50E91" w:rsidRDefault="005B415B" w:rsidP="00B11587">
            <w:pPr>
              <w:autoSpaceDE w:val="0"/>
              <w:autoSpaceDN w:val="0"/>
              <w:adjustRightInd w:val="0"/>
              <w:ind w:right="56"/>
              <w:jc w:val="center"/>
              <w:rPr>
                <w:sz w:val="20"/>
                <w:szCs w:val="20"/>
              </w:rPr>
            </w:pPr>
          </w:p>
        </w:tc>
        <w:tc>
          <w:tcPr>
            <w:tcW w:w="729" w:type="dxa"/>
            <w:gridSpan w:val="3"/>
            <w:tcBorders>
              <w:top w:val="single" w:sz="4" w:space="0" w:color="auto"/>
              <w:bottom w:val="single" w:sz="4" w:space="0" w:color="auto"/>
              <w:right w:val="single" w:sz="4" w:space="0" w:color="auto"/>
            </w:tcBorders>
            <w:shd w:val="clear" w:color="auto" w:fill="BFBFBF"/>
          </w:tcPr>
          <w:p w:rsidR="005B415B" w:rsidRPr="00D50E91" w:rsidRDefault="005B415B" w:rsidP="00B11587">
            <w:pPr>
              <w:jc w:val="center"/>
              <w:rPr>
                <w:sz w:val="20"/>
                <w:szCs w:val="20"/>
              </w:rPr>
            </w:pPr>
            <w:r w:rsidRPr="00D50E91">
              <w:rPr>
                <w:sz w:val="20"/>
                <w:szCs w:val="20"/>
              </w:rPr>
              <w:t>30</w:t>
            </w:r>
          </w:p>
          <w:p w:rsidR="005B415B" w:rsidRPr="00D50E91" w:rsidRDefault="005B415B" w:rsidP="00B11587">
            <w:pPr>
              <w:jc w:val="center"/>
              <w:rPr>
                <w:sz w:val="20"/>
                <w:szCs w:val="20"/>
              </w:rPr>
            </w:pPr>
            <w:r w:rsidRPr="00D50E91">
              <w:rPr>
                <w:sz w:val="20"/>
                <w:szCs w:val="20"/>
              </w:rPr>
              <w:t>C</w:t>
            </w:r>
          </w:p>
          <w:p w:rsidR="005B415B" w:rsidRPr="00D50E91" w:rsidRDefault="005B415B" w:rsidP="00B11587">
            <w:pPr>
              <w:jc w:val="center"/>
              <w:rPr>
                <w:sz w:val="20"/>
                <w:szCs w:val="20"/>
              </w:rPr>
            </w:pPr>
          </w:p>
        </w:tc>
        <w:tc>
          <w:tcPr>
            <w:tcW w:w="817" w:type="dxa"/>
            <w:tcBorders>
              <w:top w:val="single" w:sz="4" w:space="0" w:color="auto"/>
              <w:bottom w:val="single" w:sz="4" w:space="0" w:color="auto"/>
              <w:right w:val="single" w:sz="4" w:space="0" w:color="auto"/>
            </w:tcBorders>
            <w:shd w:val="clear" w:color="auto" w:fill="BFBFBF"/>
          </w:tcPr>
          <w:p w:rsidR="005B415B" w:rsidRPr="00D50E91" w:rsidRDefault="005B415B" w:rsidP="00B11587">
            <w:pPr>
              <w:jc w:val="center"/>
              <w:rPr>
                <w:sz w:val="20"/>
                <w:szCs w:val="20"/>
              </w:rPr>
            </w:pPr>
            <w:r w:rsidRPr="00D50E91">
              <w:rPr>
                <w:sz w:val="20"/>
                <w:szCs w:val="20"/>
              </w:rPr>
              <w:t>60</w:t>
            </w:r>
          </w:p>
          <w:p w:rsidR="005B415B" w:rsidRPr="00D50E91" w:rsidRDefault="005B415B" w:rsidP="00B11587">
            <w:pPr>
              <w:jc w:val="center"/>
              <w:rPr>
                <w:sz w:val="20"/>
                <w:szCs w:val="20"/>
              </w:rPr>
            </w:pPr>
            <w:r w:rsidRPr="00D50E91">
              <w:rPr>
                <w:sz w:val="20"/>
                <w:szCs w:val="20"/>
              </w:rPr>
              <w:t>A2</w:t>
            </w:r>
          </w:p>
          <w:p w:rsidR="005B415B" w:rsidRPr="00D50E91" w:rsidRDefault="005B415B" w:rsidP="00B11587">
            <w:pPr>
              <w:jc w:val="center"/>
              <w:rPr>
                <w:sz w:val="20"/>
                <w:szCs w:val="20"/>
              </w:rPr>
            </w:pPr>
            <w:r w:rsidRPr="00D50E91">
              <w:rPr>
                <w:sz w:val="20"/>
                <w:szCs w:val="20"/>
              </w:rPr>
              <w:t xml:space="preserve"> </w:t>
            </w:r>
          </w:p>
        </w:tc>
        <w:tc>
          <w:tcPr>
            <w:tcW w:w="665" w:type="dxa"/>
            <w:tcBorders>
              <w:top w:val="single" w:sz="4" w:space="0" w:color="auto"/>
              <w:bottom w:val="single" w:sz="4" w:space="0" w:color="auto"/>
              <w:right w:val="single" w:sz="4" w:space="0" w:color="auto"/>
            </w:tcBorders>
          </w:tcPr>
          <w:p w:rsidR="005B415B" w:rsidRPr="00D50E91" w:rsidRDefault="005B415B" w:rsidP="00B11587">
            <w:pPr>
              <w:jc w:val="center"/>
              <w:rPr>
                <w:sz w:val="20"/>
                <w:szCs w:val="20"/>
              </w:rPr>
            </w:pPr>
            <w:r w:rsidRPr="00D50E91">
              <w:rPr>
                <w:sz w:val="20"/>
                <w:szCs w:val="20"/>
              </w:rPr>
              <w:t>30</w:t>
            </w:r>
          </w:p>
          <w:p w:rsidR="005B415B" w:rsidRPr="00D50E91" w:rsidRDefault="005B415B" w:rsidP="00B11587">
            <w:pPr>
              <w:jc w:val="center"/>
              <w:rPr>
                <w:sz w:val="20"/>
                <w:szCs w:val="20"/>
              </w:rPr>
            </w:pPr>
            <w:r w:rsidRPr="00D50E91">
              <w:rPr>
                <w:sz w:val="20"/>
                <w:szCs w:val="20"/>
              </w:rPr>
              <w:t>A2</w:t>
            </w:r>
          </w:p>
          <w:p w:rsidR="005B415B" w:rsidRPr="00D50E91" w:rsidRDefault="005B415B" w:rsidP="00B11587">
            <w:pPr>
              <w:jc w:val="center"/>
              <w:rPr>
                <w:sz w:val="20"/>
                <w:szCs w:val="20"/>
              </w:rPr>
            </w:pPr>
          </w:p>
        </w:tc>
        <w:tc>
          <w:tcPr>
            <w:tcW w:w="666" w:type="dxa"/>
            <w:tcBorders>
              <w:top w:val="single" w:sz="4" w:space="0" w:color="auto"/>
              <w:bottom w:val="single" w:sz="4" w:space="0" w:color="auto"/>
              <w:right w:val="single" w:sz="4" w:space="0" w:color="auto"/>
            </w:tcBorders>
          </w:tcPr>
          <w:p w:rsidR="005B415B" w:rsidRPr="00D50E91" w:rsidRDefault="005B415B" w:rsidP="00B11587">
            <w:pPr>
              <w:jc w:val="center"/>
              <w:rPr>
                <w:sz w:val="20"/>
                <w:szCs w:val="20"/>
              </w:rPr>
            </w:pPr>
            <w:r w:rsidRPr="00D50E91">
              <w:rPr>
                <w:sz w:val="20"/>
                <w:szCs w:val="20"/>
              </w:rPr>
              <w:t>60</w:t>
            </w:r>
          </w:p>
          <w:p w:rsidR="005B415B" w:rsidRPr="00D50E91" w:rsidRDefault="005B415B" w:rsidP="00B11587">
            <w:pPr>
              <w:jc w:val="center"/>
              <w:rPr>
                <w:sz w:val="20"/>
                <w:szCs w:val="20"/>
              </w:rPr>
            </w:pPr>
            <w:r w:rsidRPr="00D50E91">
              <w:rPr>
                <w:sz w:val="20"/>
                <w:szCs w:val="20"/>
              </w:rPr>
              <w:t>A2</w:t>
            </w:r>
          </w:p>
          <w:p w:rsidR="005B415B" w:rsidRPr="00D50E91" w:rsidRDefault="005B415B" w:rsidP="00B11587">
            <w:pPr>
              <w:jc w:val="center"/>
              <w:rPr>
                <w:sz w:val="20"/>
                <w:szCs w:val="20"/>
              </w:rPr>
            </w:pPr>
          </w:p>
        </w:tc>
        <w:tc>
          <w:tcPr>
            <w:tcW w:w="665" w:type="dxa"/>
            <w:tcBorders>
              <w:top w:val="single" w:sz="4" w:space="0" w:color="auto"/>
              <w:bottom w:val="single" w:sz="4" w:space="0" w:color="auto"/>
              <w:right w:val="single" w:sz="4" w:space="0" w:color="auto"/>
            </w:tcBorders>
          </w:tcPr>
          <w:p w:rsidR="005B415B" w:rsidRPr="00D50E91" w:rsidRDefault="005B415B" w:rsidP="00B11587">
            <w:pPr>
              <w:jc w:val="center"/>
              <w:rPr>
                <w:sz w:val="20"/>
                <w:szCs w:val="20"/>
              </w:rPr>
            </w:pPr>
            <w:r w:rsidRPr="00D50E91">
              <w:rPr>
                <w:sz w:val="20"/>
                <w:szCs w:val="20"/>
              </w:rPr>
              <w:t>90</w:t>
            </w:r>
          </w:p>
          <w:p w:rsidR="005B415B" w:rsidRPr="00D50E91" w:rsidRDefault="005B415B" w:rsidP="00B11587">
            <w:pPr>
              <w:jc w:val="center"/>
              <w:rPr>
                <w:sz w:val="20"/>
                <w:szCs w:val="20"/>
              </w:rPr>
            </w:pPr>
            <w:r w:rsidRPr="00D50E91">
              <w:rPr>
                <w:sz w:val="20"/>
                <w:szCs w:val="20"/>
              </w:rPr>
              <w:t>A2</w:t>
            </w:r>
          </w:p>
          <w:p w:rsidR="005B415B" w:rsidRPr="00D50E91" w:rsidRDefault="005B415B" w:rsidP="00B11587">
            <w:pPr>
              <w:jc w:val="center"/>
              <w:rPr>
                <w:sz w:val="20"/>
                <w:szCs w:val="20"/>
              </w:rPr>
            </w:pPr>
          </w:p>
        </w:tc>
        <w:tc>
          <w:tcPr>
            <w:tcW w:w="665" w:type="dxa"/>
            <w:tcBorders>
              <w:top w:val="single" w:sz="4" w:space="0" w:color="auto"/>
              <w:bottom w:val="single" w:sz="4" w:space="0" w:color="auto"/>
              <w:right w:val="single" w:sz="4" w:space="0" w:color="auto"/>
            </w:tcBorders>
            <w:shd w:val="clear" w:color="auto" w:fill="BFBFBF"/>
          </w:tcPr>
          <w:p w:rsidR="005B415B" w:rsidRPr="00D50E91" w:rsidRDefault="005B415B" w:rsidP="00B11587">
            <w:pPr>
              <w:jc w:val="center"/>
              <w:rPr>
                <w:sz w:val="20"/>
                <w:szCs w:val="20"/>
              </w:rPr>
            </w:pPr>
            <w:r w:rsidRPr="00D50E91">
              <w:rPr>
                <w:sz w:val="20"/>
                <w:szCs w:val="20"/>
              </w:rPr>
              <w:t>60</w:t>
            </w:r>
          </w:p>
          <w:p w:rsidR="005B415B" w:rsidRPr="00D50E91" w:rsidRDefault="005B415B" w:rsidP="00B11587">
            <w:pPr>
              <w:jc w:val="center"/>
              <w:rPr>
                <w:sz w:val="20"/>
                <w:szCs w:val="20"/>
              </w:rPr>
            </w:pPr>
            <w:r w:rsidRPr="00D50E91">
              <w:rPr>
                <w:sz w:val="20"/>
                <w:szCs w:val="20"/>
              </w:rPr>
              <w:t>A2</w:t>
            </w:r>
          </w:p>
          <w:p w:rsidR="005B415B" w:rsidRPr="00D50E91" w:rsidRDefault="005B415B" w:rsidP="00B11587">
            <w:pPr>
              <w:jc w:val="center"/>
              <w:rPr>
                <w:sz w:val="20"/>
                <w:szCs w:val="20"/>
              </w:rPr>
            </w:pPr>
          </w:p>
        </w:tc>
        <w:tc>
          <w:tcPr>
            <w:tcW w:w="665" w:type="dxa"/>
            <w:tcBorders>
              <w:top w:val="single" w:sz="4" w:space="0" w:color="auto"/>
              <w:bottom w:val="single" w:sz="4" w:space="0" w:color="auto"/>
              <w:right w:val="single" w:sz="4" w:space="0" w:color="auto"/>
            </w:tcBorders>
            <w:shd w:val="clear" w:color="auto" w:fill="BFBFBF"/>
          </w:tcPr>
          <w:p w:rsidR="005B415B" w:rsidRPr="00D50E91" w:rsidRDefault="005B415B" w:rsidP="00B11587">
            <w:pPr>
              <w:jc w:val="center"/>
              <w:rPr>
                <w:sz w:val="20"/>
                <w:szCs w:val="20"/>
              </w:rPr>
            </w:pPr>
            <w:r w:rsidRPr="00D50E91">
              <w:rPr>
                <w:sz w:val="20"/>
                <w:szCs w:val="20"/>
              </w:rPr>
              <w:t>90</w:t>
            </w:r>
          </w:p>
          <w:p w:rsidR="005B415B" w:rsidRPr="00D50E91" w:rsidRDefault="005B415B" w:rsidP="00B11587">
            <w:pPr>
              <w:jc w:val="center"/>
              <w:rPr>
                <w:sz w:val="20"/>
                <w:szCs w:val="20"/>
              </w:rPr>
            </w:pPr>
            <w:r w:rsidRPr="00D50E91">
              <w:rPr>
                <w:sz w:val="20"/>
                <w:szCs w:val="20"/>
              </w:rPr>
              <w:t>A2</w:t>
            </w:r>
          </w:p>
          <w:p w:rsidR="005B415B" w:rsidRPr="00D50E91" w:rsidRDefault="005B415B" w:rsidP="00B11587">
            <w:pPr>
              <w:jc w:val="center"/>
              <w:rPr>
                <w:sz w:val="20"/>
                <w:szCs w:val="20"/>
              </w:rPr>
            </w:pPr>
          </w:p>
        </w:tc>
        <w:tc>
          <w:tcPr>
            <w:tcW w:w="665" w:type="dxa"/>
            <w:tcBorders>
              <w:top w:val="single" w:sz="4" w:space="0" w:color="auto"/>
              <w:bottom w:val="single" w:sz="4" w:space="0" w:color="auto"/>
              <w:right w:val="single" w:sz="4" w:space="0" w:color="auto"/>
            </w:tcBorders>
            <w:shd w:val="clear" w:color="auto" w:fill="BFBFBF"/>
          </w:tcPr>
          <w:p w:rsidR="005B415B" w:rsidRPr="00D50E91" w:rsidRDefault="005B415B" w:rsidP="00B11587">
            <w:pPr>
              <w:jc w:val="center"/>
              <w:rPr>
                <w:sz w:val="20"/>
                <w:szCs w:val="20"/>
              </w:rPr>
            </w:pPr>
            <w:r w:rsidRPr="00D50E91">
              <w:rPr>
                <w:sz w:val="20"/>
                <w:szCs w:val="20"/>
              </w:rPr>
              <w:t>120</w:t>
            </w:r>
          </w:p>
          <w:p w:rsidR="005B415B" w:rsidRPr="00D50E91" w:rsidRDefault="005B415B" w:rsidP="00B11587">
            <w:pPr>
              <w:jc w:val="center"/>
              <w:rPr>
                <w:sz w:val="20"/>
                <w:szCs w:val="20"/>
              </w:rPr>
            </w:pPr>
            <w:r w:rsidRPr="00D50E91">
              <w:rPr>
                <w:sz w:val="20"/>
                <w:szCs w:val="20"/>
              </w:rPr>
              <w:t>A2</w:t>
            </w:r>
          </w:p>
          <w:p w:rsidR="005B415B" w:rsidRPr="00D50E91" w:rsidRDefault="005B415B" w:rsidP="00B11587">
            <w:pPr>
              <w:jc w:val="center"/>
              <w:rPr>
                <w:sz w:val="20"/>
                <w:szCs w:val="20"/>
              </w:rPr>
            </w:pPr>
          </w:p>
        </w:tc>
      </w:tr>
      <w:tr w:rsidR="005B415B" w:rsidRPr="00D50E91" w:rsidTr="00B11587">
        <w:tc>
          <w:tcPr>
            <w:tcW w:w="400" w:type="dxa"/>
            <w:tcBorders>
              <w:top w:val="single" w:sz="4" w:space="0" w:color="auto"/>
              <w:left w:val="single" w:sz="4" w:space="0" w:color="auto"/>
              <w:bottom w:val="single" w:sz="4" w:space="0" w:color="auto"/>
              <w:right w:val="single" w:sz="4" w:space="0" w:color="auto"/>
            </w:tcBorders>
          </w:tcPr>
          <w:p w:rsidR="005B415B" w:rsidRPr="00D50E91" w:rsidRDefault="003D757E" w:rsidP="00B11587">
            <w:pPr>
              <w:autoSpaceDE w:val="0"/>
              <w:autoSpaceDN w:val="0"/>
              <w:adjustRightInd w:val="0"/>
              <w:ind w:left="56" w:right="56"/>
              <w:jc w:val="center"/>
              <w:rPr>
                <w:sz w:val="20"/>
                <w:szCs w:val="20"/>
              </w:rPr>
            </w:pPr>
            <w:r w:rsidRPr="00D50E91">
              <w:rPr>
                <w:sz w:val="20"/>
                <w:szCs w:val="20"/>
              </w:rPr>
              <w:t xml:space="preserve"> </w:t>
            </w:r>
            <w:r w:rsidR="005B415B" w:rsidRPr="00D50E91">
              <w:rPr>
                <w:sz w:val="20"/>
                <w:szCs w:val="20"/>
              </w:rPr>
              <w:t>5</w:t>
            </w:r>
          </w:p>
        </w:tc>
        <w:tc>
          <w:tcPr>
            <w:tcW w:w="5880" w:type="dxa"/>
            <w:gridSpan w:val="2"/>
            <w:tcBorders>
              <w:top w:val="single" w:sz="4" w:space="0" w:color="auto"/>
              <w:left w:val="single" w:sz="4" w:space="0" w:color="auto"/>
              <w:bottom w:val="single" w:sz="4" w:space="0" w:color="auto"/>
              <w:right w:val="single" w:sz="4" w:space="0" w:color="auto"/>
            </w:tcBorders>
            <w:vAlign w:val="center"/>
          </w:tcPr>
          <w:p w:rsidR="005B415B" w:rsidRPr="00D50E91" w:rsidRDefault="003D757E" w:rsidP="00B11587">
            <w:pPr>
              <w:autoSpaceDE w:val="0"/>
              <w:autoSpaceDN w:val="0"/>
              <w:adjustRightInd w:val="0"/>
              <w:ind w:left="56" w:right="56"/>
              <w:jc w:val="both"/>
              <w:rPr>
                <w:sz w:val="20"/>
                <w:szCs w:val="20"/>
              </w:rPr>
            </w:pPr>
            <w:r w:rsidRPr="00D50E91">
              <w:rPr>
                <w:sz w:val="20"/>
                <w:szCs w:val="20"/>
              </w:rPr>
              <w:t xml:space="preserve"> P</w:t>
            </w:r>
            <w:r w:rsidR="005B415B" w:rsidRPr="00D50E91">
              <w:rPr>
                <w:sz w:val="20"/>
                <w:szCs w:val="20"/>
              </w:rPr>
              <w:t>inceszint feletti, emeletközi, tetőtér alatti és padlásfödémek</w:t>
            </w:r>
          </w:p>
          <w:p w:rsidR="005B415B" w:rsidRPr="00D50E91" w:rsidRDefault="005B415B" w:rsidP="00B11587">
            <w:pPr>
              <w:numPr>
                <w:ilvl w:val="0"/>
                <w:numId w:val="13"/>
              </w:numPr>
              <w:autoSpaceDE w:val="0"/>
              <w:autoSpaceDN w:val="0"/>
              <w:adjustRightInd w:val="0"/>
              <w:ind w:right="56"/>
              <w:jc w:val="both"/>
              <w:rPr>
                <w:sz w:val="20"/>
                <w:szCs w:val="20"/>
              </w:rPr>
            </w:pPr>
            <w:r w:rsidRPr="00D50E91">
              <w:rPr>
                <w:sz w:val="20"/>
                <w:szCs w:val="20"/>
              </w:rPr>
              <w:t xml:space="preserve">a tűzterjedésgátlásban szerepet játszó födémekre EI kritérium is vonatkozik </w:t>
            </w:r>
          </w:p>
          <w:p w:rsidR="005B415B" w:rsidRPr="00D50E91" w:rsidRDefault="005B415B" w:rsidP="00B11587">
            <w:pPr>
              <w:numPr>
                <w:ilvl w:val="0"/>
                <w:numId w:val="13"/>
              </w:numPr>
              <w:autoSpaceDE w:val="0"/>
              <w:autoSpaceDN w:val="0"/>
              <w:adjustRightInd w:val="0"/>
              <w:ind w:right="56"/>
              <w:jc w:val="both"/>
              <w:rPr>
                <w:sz w:val="20"/>
                <w:szCs w:val="20"/>
              </w:rPr>
            </w:pPr>
            <w:r w:rsidRPr="00D50E91">
              <w:rPr>
                <w:sz w:val="20"/>
                <w:szCs w:val="20"/>
              </w:rPr>
              <w:t>a pinceszint feletti szerkezetek tűzvédelmi osztálykövetelménye legalább A2, tűzállósági teljesítménykövetelménye legalább R30</w:t>
            </w:r>
          </w:p>
        </w:tc>
        <w:tc>
          <w:tcPr>
            <w:tcW w:w="904" w:type="dxa"/>
            <w:tcBorders>
              <w:top w:val="single" w:sz="4" w:space="0" w:color="auto"/>
              <w:left w:val="single" w:sz="4" w:space="0" w:color="auto"/>
              <w:bottom w:val="single" w:sz="4" w:space="0" w:color="auto"/>
              <w:right w:val="single" w:sz="4" w:space="0" w:color="auto"/>
            </w:tcBorders>
          </w:tcPr>
          <w:p w:rsidR="005B415B" w:rsidRPr="00D50E91" w:rsidRDefault="005B415B" w:rsidP="00B11587">
            <w:pPr>
              <w:autoSpaceDE w:val="0"/>
              <w:autoSpaceDN w:val="0"/>
              <w:adjustRightInd w:val="0"/>
              <w:ind w:right="56"/>
              <w:jc w:val="center"/>
              <w:rPr>
                <w:sz w:val="20"/>
                <w:szCs w:val="20"/>
              </w:rPr>
            </w:pPr>
            <w:r w:rsidRPr="00D50E91">
              <w:rPr>
                <w:sz w:val="20"/>
                <w:szCs w:val="20"/>
              </w:rPr>
              <w:t>R</w:t>
            </w:r>
          </w:p>
        </w:tc>
        <w:tc>
          <w:tcPr>
            <w:tcW w:w="665" w:type="dxa"/>
            <w:tcBorders>
              <w:top w:val="single" w:sz="4" w:space="0" w:color="auto"/>
              <w:bottom w:val="single" w:sz="4" w:space="0" w:color="auto"/>
              <w:right w:val="single" w:sz="4" w:space="0" w:color="auto"/>
            </w:tcBorders>
          </w:tcPr>
          <w:p w:rsidR="005B415B" w:rsidRPr="00D50E91" w:rsidRDefault="005B415B" w:rsidP="00B11587">
            <w:pPr>
              <w:jc w:val="center"/>
              <w:rPr>
                <w:sz w:val="20"/>
                <w:szCs w:val="20"/>
              </w:rPr>
            </w:pPr>
            <w:r w:rsidRPr="00D50E91">
              <w:rPr>
                <w:sz w:val="20"/>
                <w:szCs w:val="20"/>
              </w:rPr>
              <w:t xml:space="preserve">15 </w:t>
            </w:r>
          </w:p>
          <w:p w:rsidR="005B415B" w:rsidRPr="00D50E91" w:rsidDel="004C37E9" w:rsidRDefault="005B415B" w:rsidP="00B11587">
            <w:pPr>
              <w:jc w:val="center"/>
              <w:rPr>
                <w:sz w:val="20"/>
                <w:szCs w:val="20"/>
              </w:rPr>
            </w:pPr>
            <w:r w:rsidRPr="00D50E91">
              <w:rPr>
                <w:sz w:val="20"/>
                <w:szCs w:val="20"/>
              </w:rPr>
              <w:t>D</w:t>
            </w:r>
          </w:p>
        </w:tc>
        <w:tc>
          <w:tcPr>
            <w:tcW w:w="665" w:type="dxa"/>
            <w:tcBorders>
              <w:top w:val="single" w:sz="4" w:space="0" w:color="auto"/>
              <w:bottom w:val="single" w:sz="4" w:space="0" w:color="auto"/>
              <w:right w:val="single" w:sz="4" w:space="0" w:color="auto"/>
            </w:tcBorders>
          </w:tcPr>
          <w:p w:rsidR="005B415B" w:rsidRPr="00D50E91" w:rsidRDefault="005B415B" w:rsidP="00B11587">
            <w:pPr>
              <w:jc w:val="center"/>
              <w:rPr>
                <w:sz w:val="20"/>
                <w:szCs w:val="20"/>
              </w:rPr>
            </w:pPr>
            <w:r w:rsidRPr="00D50E91">
              <w:rPr>
                <w:sz w:val="20"/>
                <w:szCs w:val="20"/>
              </w:rPr>
              <w:t xml:space="preserve">30 </w:t>
            </w:r>
          </w:p>
          <w:p w:rsidR="005B415B" w:rsidRPr="00D50E91" w:rsidDel="004C37E9" w:rsidRDefault="005B415B" w:rsidP="00B11587">
            <w:pPr>
              <w:jc w:val="center"/>
              <w:rPr>
                <w:sz w:val="20"/>
                <w:szCs w:val="20"/>
              </w:rPr>
            </w:pPr>
            <w:r w:rsidRPr="00D50E91">
              <w:rPr>
                <w:sz w:val="20"/>
                <w:szCs w:val="20"/>
              </w:rPr>
              <w:t xml:space="preserve">D </w:t>
            </w:r>
          </w:p>
        </w:tc>
        <w:tc>
          <w:tcPr>
            <w:tcW w:w="665" w:type="dxa"/>
            <w:tcBorders>
              <w:top w:val="single" w:sz="4" w:space="0" w:color="auto"/>
              <w:bottom w:val="single" w:sz="4" w:space="0" w:color="auto"/>
              <w:right w:val="single" w:sz="4" w:space="0" w:color="auto"/>
            </w:tcBorders>
          </w:tcPr>
          <w:p w:rsidR="005B415B" w:rsidRPr="00D50E91" w:rsidRDefault="005B415B" w:rsidP="00B11587">
            <w:pPr>
              <w:jc w:val="center"/>
              <w:rPr>
                <w:sz w:val="20"/>
                <w:szCs w:val="20"/>
              </w:rPr>
            </w:pPr>
            <w:r w:rsidRPr="00D50E91">
              <w:rPr>
                <w:sz w:val="20"/>
                <w:szCs w:val="20"/>
              </w:rPr>
              <w:t>60</w:t>
            </w:r>
          </w:p>
          <w:p w:rsidR="005B415B" w:rsidRPr="00D50E91" w:rsidRDefault="005B415B" w:rsidP="00B11587">
            <w:pPr>
              <w:jc w:val="center"/>
              <w:rPr>
                <w:sz w:val="20"/>
                <w:szCs w:val="20"/>
              </w:rPr>
            </w:pPr>
            <w:r w:rsidRPr="00D50E91">
              <w:rPr>
                <w:sz w:val="20"/>
                <w:szCs w:val="20"/>
              </w:rPr>
              <w:t>D</w:t>
            </w:r>
          </w:p>
          <w:p w:rsidR="005B415B" w:rsidRPr="00D50E91" w:rsidDel="004C37E9" w:rsidRDefault="005B415B" w:rsidP="00B11587">
            <w:pPr>
              <w:rPr>
                <w:sz w:val="20"/>
                <w:szCs w:val="20"/>
              </w:rPr>
            </w:pPr>
          </w:p>
        </w:tc>
        <w:tc>
          <w:tcPr>
            <w:tcW w:w="665" w:type="dxa"/>
            <w:tcBorders>
              <w:top w:val="single" w:sz="4" w:space="0" w:color="auto"/>
              <w:bottom w:val="single" w:sz="4" w:space="0" w:color="auto"/>
              <w:right w:val="single" w:sz="4" w:space="0" w:color="auto"/>
            </w:tcBorders>
            <w:shd w:val="clear" w:color="auto" w:fill="BFBFBF"/>
          </w:tcPr>
          <w:p w:rsidR="005B415B" w:rsidRPr="00D50E91" w:rsidRDefault="005B415B" w:rsidP="00B11587">
            <w:pPr>
              <w:autoSpaceDE w:val="0"/>
              <w:autoSpaceDN w:val="0"/>
              <w:adjustRightInd w:val="0"/>
              <w:ind w:right="56"/>
              <w:jc w:val="center"/>
              <w:rPr>
                <w:sz w:val="20"/>
                <w:szCs w:val="20"/>
              </w:rPr>
            </w:pPr>
            <w:r w:rsidRPr="00D50E91">
              <w:rPr>
                <w:sz w:val="20"/>
                <w:szCs w:val="20"/>
              </w:rPr>
              <w:t>30</w:t>
            </w:r>
          </w:p>
          <w:p w:rsidR="005B415B" w:rsidRPr="00D50E91" w:rsidRDefault="005B415B" w:rsidP="00B11587">
            <w:pPr>
              <w:autoSpaceDE w:val="0"/>
              <w:autoSpaceDN w:val="0"/>
              <w:adjustRightInd w:val="0"/>
              <w:ind w:right="56"/>
              <w:jc w:val="center"/>
              <w:rPr>
                <w:sz w:val="20"/>
                <w:szCs w:val="20"/>
              </w:rPr>
            </w:pPr>
            <w:r w:rsidRPr="00D50E91">
              <w:rPr>
                <w:sz w:val="20"/>
                <w:szCs w:val="20"/>
              </w:rPr>
              <w:t>D</w:t>
            </w:r>
          </w:p>
          <w:p w:rsidR="005B415B" w:rsidRPr="00D50E91" w:rsidRDefault="005B415B" w:rsidP="00B11587">
            <w:pPr>
              <w:autoSpaceDE w:val="0"/>
              <w:autoSpaceDN w:val="0"/>
              <w:adjustRightInd w:val="0"/>
              <w:ind w:right="56"/>
              <w:jc w:val="center"/>
              <w:rPr>
                <w:sz w:val="20"/>
                <w:szCs w:val="20"/>
              </w:rPr>
            </w:pPr>
          </w:p>
        </w:tc>
        <w:tc>
          <w:tcPr>
            <w:tcW w:w="729" w:type="dxa"/>
            <w:gridSpan w:val="3"/>
            <w:tcBorders>
              <w:top w:val="single" w:sz="4" w:space="0" w:color="auto"/>
              <w:bottom w:val="single" w:sz="4" w:space="0" w:color="auto"/>
              <w:right w:val="single" w:sz="4" w:space="0" w:color="auto"/>
            </w:tcBorders>
            <w:shd w:val="clear" w:color="auto" w:fill="BFBFBF"/>
          </w:tcPr>
          <w:p w:rsidR="005B415B" w:rsidRPr="00D50E91" w:rsidRDefault="005B415B" w:rsidP="00B11587">
            <w:pPr>
              <w:jc w:val="center"/>
              <w:rPr>
                <w:sz w:val="20"/>
                <w:szCs w:val="20"/>
              </w:rPr>
            </w:pPr>
            <w:r w:rsidRPr="00D50E91">
              <w:rPr>
                <w:sz w:val="20"/>
                <w:szCs w:val="20"/>
              </w:rPr>
              <w:t>30</w:t>
            </w:r>
          </w:p>
          <w:p w:rsidR="005B415B" w:rsidRPr="00D50E91" w:rsidRDefault="005B415B" w:rsidP="00B11587">
            <w:pPr>
              <w:jc w:val="center"/>
              <w:rPr>
                <w:sz w:val="20"/>
                <w:szCs w:val="20"/>
              </w:rPr>
            </w:pPr>
            <w:r w:rsidRPr="00D50E91">
              <w:rPr>
                <w:sz w:val="20"/>
                <w:szCs w:val="20"/>
              </w:rPr>
              <w:t>C</w:t>
            </w:r>
          </w:p>
          <w:p w:rsidR="005B415B" w:rsidRPr="00D50E91" w:rsidRDefault="005B415B" w:rsidP="00B11587">
            <w:pPr>
              <w:jc w:val="center"/>
              <w:rPr>
                <w:sz w:val="20"/>
                <w:szCs w:val="20"/>
              </w:rPr>
            </w:pPr>
          </w:p>
        </w:tc>
        <w:tc>
          <w:tcPr>
            <w:tcW w:w="817" w:type="dxa"/>
            <w:tcBorders>
              <w:top w:val="single" w:sz="4" w:space="0" w:color="auto"/>
              <w:bottom w:val="single" w:sz="4" w:space="0" w:color="auto"/>
              <w:right w:val="single" w:sz="4" w:space="0" w:color="auto"/>
            </w:tcBorders>
            <w:shd w:val="clear" w:color="auto" w:fill="BFBFBF"/>
          </w:tcPr>
          <w:p w:rsidR="005B415B" w:rsidRPr="00D50E91" w:rsidRDefault="005B415B" w:rsidP="00B11587">
            <w:pPr>
              <w:jc w:val="center"/>
              <w:rPr>
                <w:sz w:val="20"/>
                <w:szCs w:val="20"/>
              </w:rPr>
            </w:pPr>
            <w:r w:rsidRPr="00D50E91">
              <w:rPr>
                <w:sz w:val="20"/>
                <w:szCs w:val="20"/>
              </w:rPr>
              <w:t>60</w:t>
            </w:r>
          </w:p>
          <w:p w:rsidR="005B415B" w:rsidRPr="00D50E91" w:rsidRDefault="005B415B" w:rsidP="00B11587">
            <w:pPr>
              <w:jc w:val="center"/>
              <w:rPr>
                <w:sz w:val="20"/>
                <w:szCs w:val="20"/>
              </w:rPr>
            </w:pPr>
            <w:r w:rsidRPr="00D50E91">
              <w:rPr>
                <w:sz w:val="20"/>
                <w:szCs w:val="20"/>
              </w:rPr>
              <w:t>A2</w:t>
            </w:r>
          </w:p>
          <w:p w:rsidR="005B415B" w:rsidRPr="00D50E91" w:rsidRDefault="005B415B" w:rsidP="00B11587">
            <w:pPr>
              <w:jc w:val="center"/>
              <w:rPr>
                <w:sz w:val="20"/>
                <w:szCs w:val="20"/>
              </w:rPr>
            </w:pPr>
          </w:p>
        </w:tc>
        <w:tc>
          <w:tcPr>
            <w:tcW w:w="665" w:type="dxa"/>
            <w:tcBorders>
              <w:top w:val="single" w:sz="4" w:space="0" w:color="auto"/>
              <w:bottom w:val="single" w:sz="4" w:space="0" w:color="auto"/>
              <w:right w:val="single" w:sz="4" w:space="0" w:color="auto"/>
            </w:tcBorders>
          </w:tcPr>
          <w:p w:rsidR="005B415B" w:rsidRPr="00D50E91" w:rsidRDefault="005B415B" w:rsidP="00B11587">
            <w:pPr>
              <w:jc w:val="center"/>
              <w:rPr>
                <w:sz w:val="20"/>
                <w:szCs w:val="20"/>
              </w:rPr>
            </w:pPr>
            <w:r w:rsidRPr="00D50E91">
              <w:rPr>
                <w:sz w:val="20"/>
                <w:szCs w:val="20"/>
              </w:rPr>
              <w:t>30</w:t>
            </w:r>
          </w:p>
          <w:p w:rsidR="005B415B" w:rsidRPr="00D50E91" w:rsidRDefault="005B415B" w:rsidP="00B11587">
            <w:pPr>
              <w:jc w:val="center"/>
              <w:rPr>
                <w:sz w:val="20"/>
                <w:szCs w:val="20"/>
              </w:rPr>
            </w:pPr>
            <w:r w:rsidRPr="00D50E91">
              <w:rPr>
                <w:sz w:val="20"/>
                <w:szCs w:val="20"/>
              </w:rPr>
              <w:t>A2</w:t>
            </w:r>
          </w:p>
          <w:p w:rsidR="005B415B" w:rsidRPr="00D50E91" w:rsidRDefault="005B415B" w:rsidP="00B11587">
            <w:pPr>
              <w:rPr>
                <w:sz w:val="20"/>
                <w:szCs w:val="20"/>
              </w:rPr>
            </w:pPr>
          </w:p>
        </w:tc>
        <w:tc>
          <w:tcPr>
            <w:tcW w:w="666" w:type="dxa"/>
            <w:tcBorders>
              <w:top w:val="single" w:sz="4" w:space="0" w:color="auto"/>
              <w:bottom w:val="single" w:sz="4" w:space="0" w:color="auto"/>
              <w:right w:val="single" w:sz="4" w:space="0" w:color="auto"/>
            </w:tcBorders>
          </w:tcPr>
          <w:p w:rsidR="005B415B" w:rsidRPr="00D50E91" w:rsidRDefault="005B415B" w:rsidP="00B11587">
            <w:pPr>
              <w:jc w:val="center"/>
              <w:rPr>
                <w:sz w:val="20"/>
                <w:szCs w:val="20"/>
              </w:rPr>
            </w:pPr>
            <w:r w:rsidRPr="00D50E91">
              <w:rPr>
                <w:sz w:val="20"/>
                <w:szCs w:val="20"/>
              </w:rPr>
              <w:t>60</w:t>
            </w:r>
          </w:p>
          <w:p w:rsidR="005B415B" w:rsidRPr="00D50E91" w:rsidRDefault="005B415B" w:rsidP="00B11587">
            <w:pPr>
              <w:jc w:val="center"/>
              <w:rPr>
                <w:sz w:val="20"/>
                <w:szCs w:val="20"/>
              </w:rPr>
            </w:pPr>
            <w:r w:rsidRPr="00D50E91">
              <w:rPr>
                <w:sz w:val="20"/>
                <w:szCs w:val="20"/>
              </w:rPr>
              <w:t>A2</w:t>
            </w:r>
          </w:p>
          <w:p w:rsidR="005B415B" w:rsidRPr="00D50E91" w:rsidRDefault="005B415B" w:rsidP="00B11587">
            <w:pPr>
              <w:jc w:val="center"/>
              <w:rPr>
                <w:sz w:val="20"/>
                <w:szCs w:val="20"/>
              </w:rPr>
            </w:pPr>
          </w:p>
          <w:p w:rsidR="005B415B" w:rsidRPr="00D50E91" w:rsidRDefault="005B415B" w:rsidP="00B11587">
            <w:pPr>
              <w:jc w:val="center"/>
              <w:rPr>
                <w:sz w:val="20"/>
                <w:szCs w:val="20"/>
              </w:rPr>
            </w:pPr>
          </w:p>
        </w:tc>
        <w:tc>
          <w:tcPr>
            <w:tcW w:w="665" w:type="dxa"/>
            <w:tcBorders>
              <w:top w:val="single" w:sz="4" w:space="0" w:color="auto"/>
              <w:bottom w:val="single" w:sz="4" w:space="0" w:color="auto"/>
              <w:right w:val="single" w:sz="4" w:space="0" w:color="auto"/>
            </w:tcBorders>
          </w:tcPr>
          <w:p w:rsidR="005B415B" w:rsidRPr="00D50E91" w:rsidRDefault="005B415B" w:rsidP="00B11587">
            <w:pPr>
              <w:jc w:val="center"/>
              <w:rPr>
                <w:sz w:val="20"/>
                <w:szCs w:val="20"/>
              </w:rPr>
            </w:pPr>
            <w:r w:rsidRPr="00D50E91">
              <w:rPr>
                <w:sz w:val="20"/>
                <w:szCs w:val="20"/>
              </w:rPr>
              <w:t>90</w:t>
            </w:r>
          </w:p>
          <w:p w:rsidR="005B415B" w:rsidRPr="00D50E91" w:rsidRDefault="005B415B" w:rsidP="00B11587">
            <w:pPr>
              <w:jc w:val="center"/>
              <w:rPr>
                <w:sz w:val="20"/>
                <w:szCs w:val="20"/>
              </w:rPr>
            </w:pPr>
            <w:r w:rsidRPr="00D50E91">
              <w:rPr>
                <w:sz w:val="20"/>
                <w:szCs w:val="20"/>
              </w:rPr>
              <w:t>A2</w:t>
            </w:r>
          </w:p>
          <w:p w:rsidR="005B415B" w:rsidRPr="00D50E91" w:rsidRDefault="005B415B" w:rsidP="00B11587">
            <w:pPr>
              <w:jc w:val="center"/>
              <w:rPr>
                <w:sz w:val="20"/>
                <w:szCs w:val="20"/>
              </w:rPr>
            </w:pPr>
          </w:p>
        </w:tc>
        <w:tc>
          <w:tcPr>
            <w:tcW w:w="665" w:type="dxa"/>
            <w:tcBorders>
              <w:top w:val="single" w:sz="4" w:space="0" w:color="auto"/>
              <w:bottom w:val="single" w:sz="4" w:space="0" w:color="auto"/>
              <w:right w:val="single" w:sz="4" w:space="0" w:color="auto"/>
            </w:tcBorders>
            <w:shd w:val="clear" w:color="auto" w:fill="BFBFBF"/>
          </w:tcPr>
          <w:p w:rsidR="005B415B" w:rsidRPr="00D50E91" w:rsidRDefault="005B415B" w:rsidP="00B11587">
            <w:pPr>
              <w:jc w:val="center"/>
              <w:rPr>
                <w:sz w:val="20"/>
                <w:szCs w:val="20"/>
              </w:rPr>
            </w:pPr>
            <w:r w:rsidRPr="00D50E91">
              <w:rPr>
                <w:sz w:val="20"/>
                <w:szCs w:val="20"/>
              </w:rPr>
              <w:t>60</w:t>
            </w:r>
          </w:p>
          <w:p w:rsidR="005B415B" w:rsidRPr="00D50E91" w:rsidRDefault="005B415B" w:rsidP="00B11587">
            <w:pPr>
              <w:jc w:val="center"/>
              <w:rPr>
                <w:sz w:val="20"/>
                <w:szCs w:val="20"/>
              </w:rPr>
            </w:pPr>
            <w:r w:rsidRPr="00D50E91">
              <w:rPr>
                <w:sz w:val="20"/>
                <w:szCs w:val="20"/>
              </w:rPr>
              <w:t>A2</w:t>
            </w:r>
          </w:p>
          <w:p w:rsidR="005B415B" w:rsidRPr="00D50E91" w:rsidRDefault="005B415B" w:rsidP="00B11587">
            <w:pPr>
              <w:jc w:val="center"/>
              <w:rPr>
                <w:sz w:val="20"/>
                <w:szCs w:val="20"/>
              </w:rPr>
            </w:pPr>
          </w:p>
        </w:tc>
        <w:tc>
          <w:tcPr>
            <w:tcW w:w="665" w:type="dxa"/>
            <w:tcBorders>
              <w:top w:val="single" w:sz="4" w:space="0" w:color="auto"/>
              <w:bottom w:val="single" w:sz="4" w:space="0" w:color="auto"/>
              <w:right w:val="single" w:sz="4" w:space="0" w:color="auto"/>
            </w:tcBorders>
            <w:shd w:val="clear" w:color="auto" w:fill="BFBFBF"/>
          </w:tcPr>
          <w:p w:rsidR="005B415B" w:rsidRPr="00D50E91" w:rsidRDefault="005B415B" w:rsidP="00B11587">
            <w:pPr>
              <w:jc w:val="center"/>
              <w:rPr>
                <w:sz w:val="20"/>
                <w:szCs w:val="20"/>
              </w:rPr>
            </w:pPr>
            <w:r w:rsidRPr="00D50E91">
              <w:rPr>
                <w:sz w:val="20"/>
                <w:szCs w:val="20"/>
              </w:rPr>
              <w:t>90</w:t>
            </w:r>
          </w:p>
          <w:p w:rsidR="005B415B" w:rsidRPr="00D50E91" w:rsidRDefault="005B415B" w:rsidP="00B11587">
            <w:pPr>
              <w:jc w:val="center"/>
              <w:rPr>
                <w:sz w:val="20"/>
                <w:szCs w:val="20"/>
              </w:rPr>
            </w:pPr>
            <w:r w:rsidRPr="00D50E91">
              <w:rPr>
                <w:sz w:val="20"/>
                <w:szCs w:val="20"/>
              </w:rPr>
              <w:t>A2</w:t>
            </w:r>
          </w:p>
          <w:p w:rsidR="005B415B" w:rsidRPr="00D50E91" w:rsidRDefault="005B415B" w:rsidP="00B11587">
            <w:pPr>
              <w:jc w:val="center"/>
              <w:rPr>
                <w:sz w:val="20"/>
                <w:szCs w:val="20"/>
              </w:rPr>
            </w:pPr>
          </w:p>
        </w:tc>
        <w:tc>
          <w:tcPr>
            <w:tcW w:w="665" w:type="dxa"/>
            <w:tcBorders>
              <w:top w:val="single" w:sz="4" w:space="0" w:color="auto"/>
              <w:bottom w:val="single" w:sz="4" w:space="0" w:color="auto"/>
              <w:right w:val="single" w:sz="4" w:space="0" w:color="auto"/>
            </w:tcBorders>
            <w:shd w:val="clear" w:color="auto" w:fill="BFBFBF"/>
          </w:tcPr>
          <w:p w:rsidR="005B415B" w:rsidRPr="00D50E91" w:rsidRDefault="005B415B" w:rsidP="00B11587">
            <w:pPr>
              <w:jc w:val="center"/>
              <w:rPr>
                <w:sz w:val="20"/>
                <w:szCs w:val="20"/>
              </w:rPr>
            </w:pPr>
            <w:r w:rsidRPr="00D50E91">
              <w:rPr>
                <w:sz w:val="20"/>
                <w:szCs w:val="20"/>
              </w:rPr>
              <w:t>90</w:t>
            </w:r>
          </w:p>
          <w:p w:rsidR="005B415B" w:rsidRPr="00D50E91" w:rsidRDefault="005B415B" w:rsidP="00B11587">
            <w:pPr>
              <w:jc w:val="center"/>
              <w:rPr>
                <w:sz w:val="20"/>
                <w:szCs w:val="20"/>
              </w:rPr>
            </w:pPr>
            <w:r w:rsidRPr="00D50E91">
              <w:rPr>
                <w:sz w:val="20"/>
                <w:szCs w:val="20"/>
              </w:rPr>
              <w:t>A2</w:t>
            </w:r>
          </w:p>
          <w:p w:rsidR="005B415B" w:rsidRPr="00D50E91" w:rsidRDefault="005B415B" w:rsidP="00B11587">
            <w:pPr>
              <w:jc w:val="center"/>
              <w:rPr>
                <w:sz w:val="20"/>
                <w:szCs w:val="20"/>
              </w:rPr>
            </w:pPr>
          </w:p>
        </w:tc>
      </w:tr>
      <w:tr w:rsidR="005B415B" w:rsidRPr="00D50E91" w:rsidTr="00B11587">
        <w:tc>
          <w:tcPr>
            <w:tcW w:w="400" w:type="dxa"/>
            <w:tcBorders>
              <w:top w:val="single" w:sz="4" w:space="0" w:color="auto"/>
              <w:left w:val="single" w:sz="4" w:space="0" w:color="auto"/>
              <w:bottom w:val="single" w:sz="4" w:space="0" w:color="auto"/>
              <w:right w:val="single" w:sz="4" w:space="0" w:color="auto"/>
            </w:tcBorders>
          </w:tcPr>
          <w:p w:rsidR="005B415B" w:rsidRPr="00D50E91" w:rsidRDefault="003D757E" w:rsidP="00B11587">
            <w:pPr>
              <w:autoSpaceDE w:val="0"/>
              <w:autoSpaceDN w:val="0"/>
              <w:adjustRightInd w:val="0"/>
              <w:ind w:left="56" w:right="56"/>
              <w:jc w:val="center"/>
              <w:rPr>
                <w:sz w:val="20"/>
                <w:szCs w:val="20"/>
              </w:rPr>
            </w:pPr>
            <w:r w:rsidRPr="00D50E91">
              <w:rPr>
                <w:sz w:val="20"/>
                <w:szCs w:val="20"/>
              </w:rPr>
              <w:t xml:space="preserve"> </w:t>
            </w:r>
            <w:r w:rsidR="005B415B" w:rsidRPr="00D50E91">
              <w:rPr>
                <w:sz w:val="20"/>
                <w:szCs w:val="20"/>
              </w:rPr>
              <w:t>6</w:t>
            </w:r>
          </w:p>
        </w:tc>
        <w:tc>
          <w:tcPr>
            <w:tcW w:w="5880" w:type="dxa"/>
            <w:gridSpan w:val="2"/>
            <w:tcBorders>
              <w:top w:val="single" w:sz="4" w:space="0" w:color="auto"/>
              <w:left w:val="single" w:sz="4" w:space="0" w:color="auto"/>
              <w:bottom w:val="single" w:sz="4" w:space="0" w:color="auto"/>
              <w:right w:val="single" w:sz="4" w:space="0" w:color="auto"/>
            </w:tcBorders>
            <w:vAlign w:val="center"/>
          </w:tcPr>
          <w:p w:rsidR="005B415B" w:rsidRPr="00D50E91" w:rsidRDefault="003D757E" w:rsidP="00B11587">
            <w:pPr>
              <w:autoSpaceDE w:val="0"/>
              <w:autoSpaceDN w:val="0"/>
              <w:adjustRightInd w:val="0"/>
              <w:ind w:left="56" w:right="56"/>
              <w:jc w:val="both"/>
              <w:rPr>
                <w:sz w:val="20"/>
                <w:szCs w:val="20"/>
              </w:rPr>
            </w:pPr>
            <w:r w:rsidRPr="00D50E91">
              <w:rPr>
                <w:sz w:val="20"/>
                <w:szCs w:val="20"/>
              </w:rPr>
              <w:t xml:space="preserve"> T</w:t>
            </w:r>
            <w:r w:rsidR="005B415B" w:rsidRPr="00D50E91">
              <w:rPr>
                <w:sz w:val="20"/>
                <w:szCs w:val="20"/>
              </w:rPr>
              <w:t>etőfödémek és a legfelső szint lefedését biztosító teherhordó szerkezetek</w:t>
            </w:r>
          </w:p>
          <w:p w:rsidR="005B415B" w:rsidRPr="00D50E91" w:rsidRDefault="005B415B" w:rsidP="00B11587">
            <w:pPr>
              <w:numPr>
                <w:ilvl w:val="0"/>
                <w:numId w:val="13"/>
              </w:numPr>
              <w:autoSpaceDE w:val="0"/>
              <w:autoSpaceDN w:val="0"/>
              <w:adjustRightInd w:val="0"/>
              <w:ind w:right="56"/>
              <w:jc w:val="both"/>
              <w:rPr>
                <w:sz w:val="20"/>
                <w:szCs w:val="20"/>
              </w:rPr>
            </w:pPr>
            <w:r w:rsidRPr="00D50E91">
              <w:rPr>
                <w:sz w:val="20"/>
                <w:szCs w:val="20"/>
              </w:rPr>
              <w:t>a szerkezetre vonatkozó EI kritériumtól el lehet tekinteni, ha a szerkezet megnyílása, átmelegedése a szerkezet környezetét nem  veszélyezteti és a szerkezet vagy valamelyik részének meggyulladása nem jár a tűz jelentős tetőfelületre való kiterjedésének veszélyével</w:t>
            </w:r>
          </w:p>
          <w:p w:rsidR="005B415B" w:rsidRPr="00D50E91" w:rsidRDefault="005B415B" w:rsidP="00B11587">
            <w:pPr>
              <w:numPr>
                <w:ilvl w:val="0"/>
                <w:numId w:val="13"/>
              </w:numPr>
              <w:autoSpaceDE w:val="0"/>
              <w:autoSpaceDN w:val="0"/>
              <w:adjustRightInd w:val="0"/>
              <w:ind w:right="56"/>
              <w:jc w:val="both"/>
              <w:rPr>
                <w:sz w:val="20"/>
                <w:szCs w:val="20"/>
              </w:rPr>
            </w:pPr>
            <w:r w:rsidRPr="00D50E91">
              <w:rPr>
                <w:sz w:val="20"/>
                <w:szCs w:val="20"/>
              </w:rPr>
              <w:t xml:space="preserve">a szerkezetre csak a táblázat szerinti D, de legfeljebb C tűzvédelmi osztály követelmény vonatkozik, ha be nem épített </w:t>
            </w:r>
            <w:r w:rsidRPr="00D50E91">
              <w:rPr>
                <w:sz w:val="20"/>
                <w:szCs w:val="20"/>
              </w:rPr>
              <w:lastRenderedPageBreak/>
              <w:t>tetőteret, padlásteret, emberi tartózkodásra nem alkalmas teret határol el a külső légtértől</w:t>
            </w:r>
          </w:p>
          <w:p w:rsidR="005B415B" w:rsidRPr="00D50E91" w:rsidRDefault="005B415B" w:rsidP="00B11587">
            <w:pPr>
              <w:numPr>
                <w:ilvl w:val="0"/>
                <w:numId w:val="13"/>
              </w:numPr>
              <w:autoSpaceDE w:val="0"/>
              <w:autoSpaceDN w:val="0"/>
              <w:adjustRightInd w:val="0"/>
              <w:ind w:right="56"/>
              <w:jc w:val="both"/>
              <w:rPr>
                <w:sz w:val="20"/>
                <w:szCs w:val="20"/>
              </w:rPr>
            </w:pPr>
            <w:r w:rsidRPr="00D50E91">
              <w:rPr>
                <w:sz w:val="20"/>
                <w:szCs w:val="20"/>
              </w:rPr>
              <w:t>a felülvilágító tartószerkezetére csak tűzvédelmi osztály követelmény vonatkozik</w:t>
            </w:r>
          </w:p>
        </w:tc>
        <w:tc>
          <w:tcPr>
            <w:tcW w:w="904" w:type="dxa"/>
            <w:tcBorders>
              <w:top w:val="single" w:sz="4" w:space="0" w:color="auto"/>
              <w:left w:val="single" w:sz="4" w:space="0" w:color="auto"/>
              <w:bottom w:val="single" w:sz="4" w:space="0" w:color="auto"/>
              <w:right w:val="single" w:sz="4" w:space="0" w:color="auto"/>
            </w:tcBorders>
          </w:tcPr>
          <w:p w:rsidR="005B415B" w:rsidRPr="00D50E91" w:rsidRDefault="005B415B" w:rsidP="00B11587">
            <w:pPr>
              <w:autoSpaceDE w:val="0"/>
              <w:autoSpaceDN w:val="0"/>
              <w:adjustRightInd w:val="0"/>
              <w:ind w:right="56"/>
              <w:jc w:val="center"/>
              <w:rPr>
                <w:sz w:val="20"/>
                <w:szCs w:val="20"/>
              </w:rPr>
            </w:pPr>
            <w:r w:rsidRPr="00D50E91">
              <w:rPr>
                <w:sz w:val="20"/>
                <w:szCs w:val="20"/>
              </w:rPr>
              <w:lastRenderedPageBreak/>
              <w:t>REI</w:t>
            </w:r>
          </w:p>
        </w:tc>
        <w:tc>
          <w:tcPr>
            <w:tcW w:w="665" w:type="dxa"/>
            <w:tcBorders>
              <w:top w:val="single" w:sz="4" w:space="0" w:color="auto"/>
              <w:bottom w:val="single" w:sz="4" w:space="0" w:color="auto"/>
              <w:right w:val="single" w:sz="4" w:space="0" w:color="auto"/>
            </w:tcBorders>
          </w:tcPr>
          <w:p w:rsidR="005B415B" w:rsidRPr="00D50E91" w:rsidRDefault="005B415B" w:rsidP="00B11587">
            <w:pPr>
              <w:jc w:val="center"/>
              <w:rPr>
                <w:sz w:val="20"/>
                <w:szCs w:val="20"/>
              </w:rPr>
            </w:pPr>
            <w:r w:rsidRPr="00D50E91">
              <w:rPr>
                <w:sz w:val="20"/>
                <w:szCs w:val="20"/>
              </w:rPr>
              <w:t xml:space="preserve">15 </w:t>
            </w:r>
          </w:p>
          <w:p w:rsidR="005B415B" w:rsidRPr="00D50E91" w:rsidDel="004C37E9" w:rsidRDefault="005B415B" w:rsidP="00B11587">
            <w:pPr>
              <w:jc w:val="center"/>
              <w:rPr>
                <w:sz w:val="20"/>
                <w:szCs w:val="20"/>
              </w:rPr>
            </w:pPr>
            <w:r w:rsidRPr="00D50E91">
              <w:rPr>
                <w:sz w:val="20"/>
                <w:szCs w:val="20"/>
              </w:rPr>
              <w:t>D</w:t>
            </w:r>
          </w:p>
        </w:tc>
        <w:tc>
          <w:tcPr>
            <w:tcW w:w="665" w:type="dxa"/>
            <w:tcBorders>
              <w:top w:val="single" w:sz="4" w:space="0" w:color="auto"/>
              <w:bottom w:val="single" w:sz="4" w:space="0" w:color="auto"/>
              <w:right w:val="single" w:sz="4" w:space="0" w:color="auto"/>
            </w:tcBorders>
          </w:tcPr>
          <w:p w:rsidR="005B415B" w:rsidRPr="00D50E91" w:rsidRDefault="005B415B" w:rsidP="00B11587">
            <w:pPr>
              <w:jc w:val="center"/>
              <w:rPr>
                <w:sz w:val="20"/>
                <w:szCs w:val="20"/>
              </w:rPr>
            </w:pPr>
            <w:r w:rsidRPr="00D50E91">
              <w:rPr>
                <w:sz w:val="20"/>
                <w:szCs w:val="20"/>
              </w:rPr>
              <w:t xml:space="preserve">15 </w:t>
            </w:r>
          </w:p>
          <w:p w:rsidR="005B415B" w:rsidRPr="00D50E91" w:rsidDel="004C37E9" w:rsidRDefault="005B415B" w:rsidP="00B11587">
            <w:pPr>
              <w:jc w:val="center"/>
              <w:rPr>
                <w:sz w:val="20"/>
                <w:szCs w:val="20"/>
              </w:rPr>
            </w:pPr>
            <w:r w:rsidRPr="00D50E91">
              <w:rPr>
                <w:sz w:val="20"/>
                <w:szCs w:val="20"/>
              </w:rPr>
              <w:t>D</w:t>
            </w:r>
          </w:p>
        </w:tc>
        <w:tc>
          <w:tcPr>
            <w:tcW w:w="665" w:type="dxa"/>
            <w:tcBorders>
              <w:top w:val="single" w:sz="4" w:space="0" w:color="auto"/>
              <w:bottom w:val="single" w:sz="4" w:space="0" w:color="auto"/>
              <w:right w:val="single" w:sz="4" w:space="0" w:color="auto"/>
            </w:tcBorders>
          </w:tcPr>
          <w:p w:rsidR="005B415B" w:rsidRPr="00D50E91" w:rsidRDefault="005B415B" w:rsidP="00B11587">
            <w:pPr>
              <w:jc w:val="center"/>
              <w:rPr>
                <w:sz w:val="20"/>
                <w:szCs w:val="20"/>
              </w:rPr>
            </w:pPr>
            <w:r w:rsidRPr="00D50E91">
              <w:rPr>
                <w:sz w:val="20"/>
                <w:szCs w:val="20"/>
              </w:rPr>
              <w:t>30</w:t>
            </w:r>
          </w:p>
          <w:p w:rsidR="005B415B" w:rsidRPr="00D50E91" w:rsidRDefault="005B415B" w:rsidP="00B11587">
            <w:pPr>
              <w:jc w:val="center"/>
              <w:rPr>
                <w:sz w:val="20"/>
                <w:szCs w:val="20"/>
              </w:rPr>
            </w:pPr>
            <w:r w:rsidRPr="00D50E91">
              <w:rPr>
                <w:sz w:val="20"/>
                <w:szCs w:val="20"/>
              </w:rPr>
              <w:t>D</w:t>
            </w:r>
          </w:p>
          <w:p w:rsidR="005B415B" w:rsidRPr="00D50E91" w:rsidDel="004C37E9" w:rsidRDefault="005B415B" w:rsidP="00B11587">
            <w:pPr>
              <w:jc w:val="center"/>
              <w:rPr>
                <w:sz w:val="20"/>
                <w:szCs w:val="20"/>
              </w:rPr>
            </w:pPr>
          </w:p>
        </w:tc>
        <w:tc>
          <w:tcPr>
            <w:tcW w:w="665" w:type="dxa"/>
            <w:tcBorders>
              <w:top w:val="single" w:sz="4" w:space="0" w:color="auto"/>
              <w:bottom w:val="single" w:sz="4" w:space="0" w:color="auto"/>
              <w:right w:val="single" w:sz="4" w:space="0" w:color="auto"/>
            </w:tcBorders>
            <w:shd w:val="clear" w:color="auto" w:fill="BFBFBF"/>
          </w:tcPr>
          <w:p w:rsidR="005B415B" w:rsidRPr="00D50E91" w:rsidRDefault="005B415B" w:rsidP="00B11587">
            <w:pPr>
              <w:jc w:val="center"/>
              <w:rPr>
                <w:sz w:val="20"/>
                <w:szCs w:val="20"/>
              </w:rPr>
            </w:pPr>
            <w:r w:rsidRPr="00D50E91">
              <w:rPr>
                <w:sz w:val="20"/>
                <w:szCs w:val="20"/>
              </w:rPr>
              <w:t xml:space="preserve">15 </w:t>
            </w:r>
          </w:p>
          <w:p w:rsidR="005B415B" w:rsidRPr="00D50E91" w:rsidRDefault="005B415B" w:rsidP="00B11587">
            <w:pPr>
              <w:autoSpaceDE w:val="0"/>
              <w:autoSpaceDN w:val="0"/>
              <w:adjustRightInd w:val="0"/>
              <w:ind w:right="56"/>
              <w:jc w:val="center"/>
              <w:rPr>
                <w:sz w:val="20"/>
                <w:szCs w:val="20"/>
              </w:rPr>
            </w:pPr>
            <w:r w:rsidRPr="00D50E91">
              <w:rPr>
                <w:sz w:val="20"/>
                <w:szCs w:val="20"/>
              </w:rPr>
              <w:t>D</w:t>
            </w:r>
          </w:p>
        </w:tc>
        <w:tc>
          <w:tcPr>
            <w:tcW w:w="729" w:type="dxa"/>
            <w:gridSpan w:val="3"/>
            <w:tcBorders>
              <w:top w:val="single" w:sz="4" w:space="0" w:color="auto"/>
              <w:bottom w:val="single" w:sz="4" w:space="0" w:color="auto"/>
              <w:right w:val="single" w:sz="4" w:space="0" w:color="auto"/>
            </w:tcBorders>
            <w:shd w:val="clear" w:color="auto" w:fill="BFBFBF"/>
          </w:tcPr>
          <w:p w:rsidR="005B415B" w:rsidRPr="00D50E91" w:rsidRDefault="005B415B" w:rsidP="00B11587">
            <w:pPr>
              <w:jc w:val="center"/>
              <w:rPr>
                <w:sz w:val="20"/>
                <w:szCs w:val="20"/>
              </w:rPr>
            </w:pPr>
            <w:r w:rsidRPr="00D50E91">
              <w:rPr>
                <w:sz w:val="20"/>
                <w:szCs w:val="20"/>
              </w:rPr>
              <w:t xml:space="preserve">15 </w:t>
            </w:r>
          </w:p>
          <w:p w:rsidR="005B415B" w:rsidRPr="00D50E91" w:rsidRDefault="005B415B" w:rsidP="00B11587">
            <w:pPr>
              <w:jc w:val="center"/>
              <w:rPr>
                <w:sz w:val="20"/>
                <w:szCs w:val="20"/>
              </w:rPr>
            </w:pPr>
            <w:r w:rsidRPr="00D50E91">
              <w:rPr>
                <w:sz w:val="20"/>
                <w:szCs w:val="20"/>
              </w:rPr>
              <w:t>D</w:t>
            </w:r>
          </w:p>
        </w:tc>
        <w:tc>
          <w:tcPr>
            <w:tcW w:w="817" w:type="dxa"/>
            <w:tcBorders>
              <w:top w:val="single" w:sz="4" w:space="0" w:color="auto"/>
              <w:bottom w:val="single" w:sz="4" w:space="0" w:color="auto"/>
              <w:right w:val="single" w:sz="4" w:space="0" w:color="auto"/>
            </w:tcBorders>
            <w:shd w:val="clear" w:color="auto" w:fill="BFBFBF"/>
          </w:tcPr>
          <w:p w:rsidR="005B415B" w:rsidRPr="00D50E91" w:rsidRDefault="005B415B" w:rsidP="00B11587">
            <w:pPr>
              <w:jc w:val="center"/>
              <w:rPr>
                <w:sz w:val="20"/>
                <w:szCs w:val="20"/>
              </w:rPr>
            </w:pPr>
            <w:r w:rsidRPr="00D50E91">
              <w:rPr>
                <w:sz w:val="20"/>
                <w:szCs w:val="20"/>
              </w:rPr>
              <w:t>30</w:t>
            </w:r>
          </w:p>
          <w:p w:rsidR="005B415B" w:rsidRPr="00D50E91" w:rsidRDefault="005B415B" w:rsidP="00B11587">
            <w:pPr>
              <w:jc w:val="center"/>
              <w:rPr>
                <w:sz w:val="20"/>
                <w:szCs w:val="20"/>
              </w:rPr>
            </w:pPr>
            <w:r w:rsidRPr="00D50E91">
              <w:rPr>
                <w:sz w:val="20"/>
                <w:szCs w:val="20"/>
              </w:rPr>
              <w:t>A2</w:t>
            </w:r>
          </w:p>
        </w:tc>
        <w:tc>
          <w:tcPr>
            <w:tcW w:w="665" w:type="dxa"/>
            <w:tcBorders>
              <w:top w:val="single" w:sz="4" w:space="0" w:color="auto"/>
              <w:bottom w:val="single" w:sz="4" w:space="0" w:color="auto"/>
              <w:right w:val="single" w:sz="4" w:space="0" w:color="auto"/>
            </w:tcBorders>
          </w:tcPr>
          <w:p w:rsidR="005B415B" w:rsidRPr="00D50E91" w:rsidRDefault="005B415B" w:rsidP="00B11587">
            <w:pPr>
              <w:jc w:val="center"/>
              <w:rPr>
                <w:sz w:val="20"/>
                <w:szCs w:val="20"/>
              </w:rPr>
            </w:pPr>
            <w:r w:rsidRPr="00D50E91">
              <w:rPr>
                <w:sz w:val="20"/>
                <w:szCs w:val="20"/>
              </w:rPr>
              <w:t>30</w:t>
            </w:r>
          </w:p>
          <w:p w:rsidR="005B415B" w:rsidRPr="00D50E91" w:rsidRDefault="005B415B" w:rsidP="00B11587">
            <w:pPr>
              <w:jc w:val="center"/>
              <w:rPr>
                <w:sz w:val="20"/>
                <w:szCs w:val="20"/>
              </w:rPr>
            </w:pPr>
            <w:r w:rsidRPr="00D50E91">
              <w:rPr>
                <w:sz w:val="20"/>
                <w:szCs w:val="20"/>
              </w:rPr>
              <w:t>D</w:t>
            </w:r>
          </w:p>
        </w:tc>
        <w:tc>
          <w:tcPr>
            <w:tcW w:w="666" w:type="dxa"/>
            <w:tcBorders>
              <w:top w:val="single" w:sz="4" w:space="0" w:color="auto"/>
              <w:bottom w:val="single" w:sz="4" w:space="0" w:color="auto"/>
              <w:right w:val="single" w:sz="4" w:space="0" w:color="auto"/>
            </w:tcBorders>
          </w:tcPr>
          <w:p w:rsidR="005B415B" w:rsidRPr="00D50E91" w:rsidRDefault="005B415B" w:rsidP="00B11587">
            <w:pPr>
              <w:jc w:val="center"/>
              <w:rPr>
                <w:sz w:val="20"/>
                <w:szCs w:val="20"/>
              </w:rPr>
            </w:pPr>
            <w:r w:rsidRPr="00D50E91">
              <w:rPr>
                <w:sz w:val="20"/>
                <w:szCs w:val="20"/>
              </w:rPr>
              <w:t>30</w:t>
            </w:r>
          </w:p>
          <w:p w:rsidR="005B415B" w:rsidRPr="00D50E91" w:rsidRDefault="005B415B" w:rsidP="00B11587">
            <w:pPr>
              <w:jc w:val="center"/>
              <w:rPr>
                <w:sz w:val="20"/>
                <w:szCs w:val="20"/>
              </w:rPr>
            </w:pPr>
            <w:r w:rsidRPr="00D50E91">
              <w:rPr>
                <w:sz w:val="20"/>
                <w:szCs w:val="20"/>
              </w:rPr>
              <w:t>A2</w:t>
            </w:r>
          </w:p>
          <w:p w:rsidR="005B415B" w:rsidRPr="00D50E91" w:rsidRDefault="005B415B" w:rsidP="00B11587">
            <w:pPr>
              <w:jc w:val="center"/>
              <w:rPr>
                <w:sz w:val="20"/>
                <w:szCs w:val="20"/>
              </w:rPr>
            </w:pPr>
          </w:p>
          <w:p w:rsidR="005B415B" w:rsidRPr="00D50E91" w:rsidRDefault="005B415B" w:rsidP="00B11587">
            <w:pPr>
              <w:jc w:val="center"/>
              <w:rPr>
                <w:sz w:val="20"/>
                <w:szCs w:val="20"/>
              </w:rPr>
            </w:pPr>
          </w:p>
        </w:tc>
        <w:tc>
          <w:tcPr>
            <w:tcW w:w="665" w:type="dxa"/>
            <w:tcBorders>
              <w:top w:val="single" w:sz="4" w:space="0" w:color="auto"/>
              <w:bottom w:val="single" w:sz="4" w:space="0" w:color="auto"/>
              <w:right w:val="single" w:sz="4" w:space="0" w:color="auto"/>
            </w:tcBorders>
          </w:tcPr>
          <w:p w:rsidR="005B415B" w:rsidRPr="00D50E91" w:rsidRDefault="005B415B" w:rsidP="00B11587">
            <w:pPr>
              <w:jc w:val="center"/>
              <w:rPr>
                <w:sz w:val="20"/>
                <w:szCs w:val="20"/>
              </w:rPr>
            </w:pPr>
            <w:r w:rsidRPr="00D50E91">
              <w:rPr>
                <w:sz w:val="20"/>
                <w:szCs w:val="20"/>
              </w:rPr>
              <w:t>60</w:t>
            </w:r>
          </w:p>
          <w:p w:rsidR="005B415B" w:rsidRPr="00D50E91" w:rsidRDefault="005B415B" w:rsidP="00B11587">
            <w:pPr>
              <w:jc w:val="center"/>
              <w:rPr>
                <w:sz w:val="20"/>
                <w:szCs w:val="20"/>
              </w:rPr>
            </w:pPr>
            <w:r w:rsidRPr="00D50E91">
              <w:rPr>
                <w:sz w:val="20"/>
                <w:szCs w:val="20"/>
              </w:rPr>
              <w:t>A2</w:t>
            </w:r>
          </w:p>
        </w:tc>
        <w:tc>
          <w:tcPr>
            <w:tcW w:w="665" w:type="dxa"/>
            <w:tcBorders>
              <w:top w:val="single" w:sz="4" w:space="0" w:color="auto"/>
              <w:bottom w:val="single" w:sz="4" w:space="0" w:color="auto"/>
              <w:right w:val="single" w:sz="4" w:space="0" w:color="auto"/>
            </w:tcBorders>
            <w:shd w:val="clear" w:color="auto" w:fill="BFBFBF"/>
          </w:tcPr>
          <w:p w:rsidR="005B415B" w:rsidRPr="00D50E91" w:rsidRDefault="005B415B" w:rsidP="00B11587">
            <w:pPr>
              <w:jc w:val="center"/>
              <w:rPr>
                <w:sz w:val="20"/>
                <w:szCs w:val="20"/>
              </w:rPr>
            </w:pPr>
            <w:r w:rsidRPr="00D50E91">
              <w:rPr>
                <w:sz w:val="20"/>
                <w:szCs w:val="20"/>
              </w:rPr>
              <w:t>30</w:t>
            </w:r>
          </w:p>
          <w:p w:rsidR="005B415B" w:rsidRPr="00D50E91" w:rsidRDefault="005B415B" w:rsidP="00B11587">
            <w:pPr>
              <w:jc w:val="center"/>
              <w:rPr>
                <w:sz w:val="20"/>
                <w:szCs w:val="20"/>
              </w:rPr>
            </w:pPr>
            <w:r w:rsidRPr="00D50E91">
              <w:rPr>
                <w:sz w:val="20"/>
                <w:szCs w:val="20"/>
              </w:rPr>
              <w:t xml:space="preserve">A2 </w:t>
            </w:r>
          </w:p>
        </w:tc>
        <w:tc>
          <w:tcPr>
            <w:tcW w:w="665" w:type="dxa"/>
            <w:tcBorders>
              <w:top w:val="single" w:sz="4" w:space="0" w:color="auto"/>
              <w:bottom w:val="single" w:sz="4" w:space="0" w:color="auto"/>
              <w:right w:val="single" w:sz="4" w:space="0" w:color="auto"/>
            </w:tcBorders>
            <w:shd w:val="clear" w:color="auto" w:fill="BFBFBF"/>
          </w:tcPr>
          <w:p w:rsidR="005B415B" w:rsidRPr="00D50E91" w:rsidRDefault="005B415B" w:rsidP="00B11587">
            <w:pPr>
              <w:jc w:val="center"/>
              <w:rPr>
                <w:sz w:val="20"/>
                <w:szCs w:val="20"/>
              </w:rPr>
            </w:pPr>
            <w:r w:rsidRPr="00D50E91">
              <w:rPr>
                <w:sz w:val="20"/>
                <w:szCs w:val="20"/>
              </w:rPr>
              <w:t>60</w:t>
            </w:r>
          </w:p>
          <w:p w:rsidR="005B415B" w:rsidRPr="00D50E91" w:rsidRDefault="005B415B" w:rsidP="00B11587">
            <w:pPr>
              <w:jc w:val="center"/>
              <w:rPr>
                <w:sz w:val="20"/>
                <w:szCs w:val="20"/>
              </w:rPr>
            </w:pPr>
            <w:r w:rsidRPr="00D50E91">
              <w:rPr>
                <w:sz w:val="20"/>
                <w:szCs w:val="20"/>
              </w:rPr>
              <w:t>A2</w:t>
            </w:r>
          </w:p>
        </w:tc>
        <w:tc>
          <w:tcPr>
            <w:tcW w:w="665" w:type="dxa"/>
            <w:tcBorders>
              <w:top w:val="single" w:sz="4" w:space="0" w:color="auto"/>
              <w:bottom w:val="single" w:sz="4" w:space="0" w:color="auto"/>
              <w:right w:val="single" w:sz="4" w:space="0" w:color="auto"/>
            </w:tcBorders>
            <w:shd w:val="clear" w:color="auto" w:fill="BFBFBF"/>
          </w:tcPr>
          <w:p w:rsidR="005B415B" w:rsidRPr="00D50E91" w:rsidRDefault="005B415B" w:rsidP="00B11587">
            <w:pPr>
              <w:jc w:val="center"/>
              <w:rPr>
                <w:sz w:val="20"/>
                <w:szCs w:val="20"/>
              </w:rPr>
            </w:pPr>
            <w:r w:rsidRPr="00D50E91">
              <w:rPr>
                <w:sz w:val="20"/>
                <w:szCs w:val="20"/>
              </w:rPr>
              <w:t>60</w:t>
            </w:r>
          </w:p>
          <w:p w:rsidR="005B415B" w:rsidRPr="00D50E91" w:rsidRDefault="005B415B" w:rsidP="00B11587">
            <w:pPr>
              <w:jc w:val="center"/>
              <w:rPr>
                <w:sz w:val="20"/>
                <w:szCs w:val="20"/>
              </w:rPr>
            </w:pPr>
            <w:r w:rsidRPr="00D50E91">
              <w:rPr>
                <w:sz w:val="20"/>
                <w:szCs w:val="20"/>
              </w:rPr>
              <w:t>A2</w:t>
            </w:r>
          </w:p>
        </w:tc>
      </w:tr>
      <w:tr w:rsidR="005B415B" w:rsidRPr="00D50E91" w:rsidTr="00B11587">
        <w:tc>
          <w:tcPr>
            <w:tcW w:w="400" w:type="dxa"/>
            <w:tcBorders>
              <w:top w:val="single" w:sz="4" w:space="0" w:color="auto"/>
              <w:left w:val="single" w:sz="4" w:space="0" w:color="auto"/>
              <w:bottom w:val="single" w:sz="4" w:space="0" w:color="auto"/>
              <w:right w:val="single" w:sz="4" w:space="0" w:color="auto"/>
            </w:tcBorders>
          </w:tcPr>
          <w:p w:rsidR="005B415B" w:rsidRPr="00D50E91" w:rsidRDefault="003D757E" w:rsidP="00B11587">
            <w:pPr>
              <w:autoSpaceDE w:val="0"/>
              <w:autoSpaceDN w:val="0"/>
              <w:adjustRightInd w:val="0"/>
              <w:ind w:left="56" w:right="56"/>
              <w:jc w:val="center"/>
              <w:rPr>
                <w:sz w:val="20"/>
                <w:szCs w:val="20"/>
              </w:rPr>
            </w:pPr>
            <w:r w:rsidRPr="00D50E91">
              <w:rPr>
                <w:sz w:val="20"/>
                <w:szCs w:val="20"/>
              </w:rPr>
              <w:lastRenderedPageBreak/>
              <w:t xml:space="preserve"> </w:t>
            </w:r>
            <w:r w:rsidR="005B415B" w:rsidRPr="00D50E91">
              <w:rPr>
                <w:sz w:val="20"/>
                <w:szCs w:val="20"/>
              </w:rPr>
              <w:t>7</w:t>
            </w:r>
          </w:p>
        </w:tc>
        <w:tc>
          <w:tcPr>
            <w:tcW w:w="5880" w:type="dxa"/>
            <w:gridSpan w:val="2"/>
            <w:tcBorders>
              <w:top w:val="single" w:sz="4" w:space="0" w:color="auto"/>
              <w:left w:val="single" w:sz="4" w:space="0" w:color="auto"/>
              <w:bottom w:val="single" w:sz="4" w:space="0" w:color="auto"/>
              <w:right w:val="single" w:sz="4" w:space="0" w:color="auto"/>
            </w:tcBorders>
            <w:vAlign w:val="center"/>
          </w:tcPr>
          <w:p w:rsidR="005B415B" w:rsidRPr="00D50E91" w:rsidRDefault="003D757E" w:rsidP="00B11587">
            <w:pPr>
              <w:rPr>
                <w:sz w:val="20"/>
                <w:szCs w:val="20"/>
              </w:rPr>
            </w:pPr>
            <w:r w:rsidRPr="00D50E91">
              <w:rPr>
                <w:sz w:val="20"/>
                <w:szCs w:val="20"/>
              </w:rPr>
              <w:t xml:space="preserve"> A</w:t>
            </w:r>
            <w:r w:rsidR="005B415B" w:rsidRPr="00D50E91">
              <w:rPr>
                <w:sz w:val="20"/>
                <w:szCs w:val="20"/>
              </w:rPr>
              <w:t xml:space="preserve"> legfelső szint lefedését biztosító, nem teherhordó szerkezet</w:t>
            </w:r>
          </w:p>
          <w:p w:rsidR="005B415B" w:rsidRPr="00D50E91" w:rsidRDefault="005B415B" w:rsidP="00B11587">
            <w:pPr>
              <w:numPr>
                <w:ilvl w:val="0"/>
                <w:numId w:val="13"/>
              </w:numPr>
              <w:autoSpaceDE w:val="0"/>
              <w:autoSpaceDN w:val="0"/>
              <w:adjustRightInd w:val="0"/>
              <w:ind w:right="56"/>
              <w:jc w:val="both"/>
              <w:rPr>
                <w:sz w:val="20"/>
                <w:szCs w:val="20"/>
              </w:rPr>
            </w:pPr>
            <w:r w:rsidRPr="00D50E91">
              <w:rPr>
                <w:sz w:val="20"/>
                <w:szCs w:val="20"/>
              </w:rPr>
              <w:t>80 kg/m</w:t>
            </w:r>
            <w:r w:rsidRPr="00D50E91">
              <w:rPr>
                <w:sz w:val="20"/>
                <w:szCs w:val="20"/>
                <w:vertAlign w:val="superscript"/>
              </w:rPr>
              <w:t>2</w:t>
            </w:r>
            <w:r w:rsidRPr="00D50E91">
              <w:rPr>
                <w:sz w:val="20"/>
                <w:szCs w:val="20"/>
              </w:rPr>
              <w:t xml:space="preserve"> feletti felülettömeg esetén a 6. sor szerinti követelményt kell teljesíteni</w:t>
            </w:r>
          </w:p>
          <w:p w:rsidR="005B415B" w:rsidRPr="00D50E91" w:rsidRDefault="005B415B" w:rsidP="00B11587">
            <w:pPr>
              <w:numPr>
                <w:ilvl w:val="0"/>
                <w:numId w:val="13"/>
              </w:numPr>
              <w:autoSpaceDE w:val="0"/>
              <w:autoSpaceDN w:val="0"/>
              <w:adjustRightInd w:val="0"/>
              <w:ind w:right="56"/>
              <w:jc w:val="both"/>
              <w:rPr>
                <w:sz w:val="20"/>
                <w:szCs w:val="20"/>
              </w:rPr>
            </w:pPr>
            <w:r w:rsidRPr="00D50E91">
              <w:rPr>
                <w:sz w:val="20"/>
                <w:szCs w:val="20"/>
              </w:rPr>
              <w:t>a szerkezetre vonatkozó EI kritériumtól el lehet tekinteni, ha a szerkezet megnyílása, átmelegedése a szerkezet környezetét nem  veszélyezteti és a szerkezet vagy valamelyik részének meggyulladása nem jár a tűz jelentős tetőfelületre való kiterjedésének veszélyével</w:t>
            </w:r>
          </w:p>
          <w:p w:rsidR="005B415B" w:rsidRPr="00D50E91" w:rsidRDefault="005B415B" w:rsidP="00B11587">
            <w:pPr>
              <w:numPr>
                <w:ilvl w:val="0"/>
                <w:numId w:val="13"/>
              </w:numPr>
              <w:autoSpaceDE w:val="0"/>
              <w:autoSpaceDN w:val="0"/>
              <w:adjustRightInd w:val="0"/>
              <w:ind w:right="56"/>
              <w:jc w:val="both"/>
              <w:rPr>
                <w:sz w:val="20"/>
                <w:szCs w:val="20"/>
              </w:rPr>
            </w:pPr>
            <w:r w:rsidRPr="00D50E91">
              <w:rPr>
                <w:sz w:val="20"/>
                <w:szCs w:val="20"/>
              </w:rPr>
              <w:t>a szerkezetre vonatkozó REI kritériumtól el lehet tekinteni, ha a szerkezet megnyílása, átmelegedése a szerkezet környezetét nem  veszélyezteti, a szerkezet vagy valamelyik részének meggyulladása nem jár a tűz jelentős tetőfelületre való kiterjedésének veszélyével és a tönkremenetele nem veszélyezteti a teherhordó szerkezetek állékonyságát</w:t>
            </w:r>
          </w:p>
        </w:tc>
        <w:tc>
          <w:tcPr>
            <w:tcW w:w="904" w:type="dxa"/>
            <w:tcBorders>
              <w:top w:val="single" w:sz="4" w:space="0" w:color="auto"/>
              <w:left w:val="single" w:sz="4" w:space="0" w:color="auto"/>
              <w:bottom w:val="single" w:sz="4" w:space="0" w:color="auto"/>
              <w:right w:val="single" w:sz="4" w:space="0" w:color="auto"/>
            </w:tcBorders>
          </w:tcPr>
          <w:p w:rsidR="005B415B" w:rsidRPr="00D50E91" w:rsidRDefault="005B415B" w:rsidP="00B11587">
            <w:pPr>
              <w:autoSpaceDE w:val="0"/>
              <w:autoSpaceDN w:val="0"/>
              <w:adjustRightInd w:val="0"/>
              <w:ind w:right="56"/>
              <w:jc w:val="center"/>
              <w:rPr>
                <w:sz w:val="20"/>
                <w:szCs w:val="20"/>
              </w:rPr>
            </w:pPr>
            <w:r w:rsidRPr="00D50E91">
              <w:rPr>
                <w:sz w:val="20"/>
                <w:szCs w:val="20"/>
              </w:rPr>
              <w:t>REI</w:t>
            </w:r>
          </w:p>
          <w:p w:rsidR="005B415B" w:rsidRPr="00D50E91" w:rsidRDefault="005B415B" w:rsidP="00B11587">
            <w:pPr>
              <w:autoSpaceDE w:val="0"/>
              <w:autoSpaceDN w:val="0"/>
              <w:adjustRightInd w:val="0"/>
              <w:ind w:right="56"/>
              <w:jc w:val="center"/>
              <w:rPr>
                <w:sz w:val="20"/>
                <w:szCs w:val="20"/>
              </w:rPr>
            </w:pPr>
          </w:p>
        </w:tc>
        <w:tc>
          <w:tcPr>
            <w:tcW w:w="665" w:type="dxa"/>
            <w:tcBorders>
              <w:top w:val="single" w:sz="4" w:space="0" w:color="auto"/>
              <w:bottom w:val="single" w:sz="4" w:space="0" w:color="auto"/>
              <w:right w:val="single" w:sz="4" w:space="0" w:color="auto"/>
            </w:tcBorders>
          </w:tcPr>
          <w:p w:rsidR="005B415B" w:rsidRPr="00D50E91" w:rsidRDefault="005B415B" w:rsidP="00B11587">
            <w:pPr>
              <w:jc w:val="center"/>
              <w:rPr>
                <w:sz w:val="20"/>
                <w:szCs w:val="20"/>
              </w:rPr>
            </w:pPr>
            <w:r w:rsidRPr="00D50E91">
              <w:rPr>
                <w:sz w:val="20"/>
                <w:szCs w:val="20"/>
              </w:rPr>
              <w:t>15</w:t>
            </w:r>
          </w:p>
          <w:p w:rsidR="005B415B" w:rsidRPr="00D50E91" w:rsidDel="004C37E9" w:rsidRDefault="005B415B" w:rsidP="00B11587">
            <w:pPr>
              <w:jc w:val="center"/>
              <w:rPr>
                <w:sz w:val="20"/>
                <w:szCs w:val="20"/>
              </w:rPr>
            </w:pPr>
            <w:r w:rsidRPr="00D50E91">
              <w:rPr>
                <w:sz w:val="20"/>
                <w:szCs w:val="20"/>
              </w:rPr>
              <w:t>D</w:t>
            </w:r>
          </w:p>
        </w:tc>
        <w:tc>
          <w:tcPr>
            <w:tcW w:w="665" w:type="dxa"/>
            <w:tcBorders>
              <w:top w:val="single" w:sz="4" w:space="0" w:color="auto"/>
              <w:bottom w:val="single" w:sz="4" w:space="0" w:color="auto"/>
              <w:right w:val="single" w:sz="4" w:space="0" w:color="auto"/>
            </w:tcBorders>
          </w:tcPr>
          <w:p w:rsidR="005B415B" w:rsidRPr="00D50E91" w:rsidRDefault="005B415B" w:rsidP="00B11587">
            <w:pPr>
              <w:jc w:val="center"/>
              <w:rPr>
                <w:sz w:val="20"/>
                <w:szCs w:val="20"/>
              </w:rPr>
            </w:pPr>
            <w:r w:rsidRPr="00D50E91">
              <w:rPr>
                <w:sz w:val="20"/>
                <w:szCs w:val="20"/>
              </w:rPr>
              <w:t>15</w:t>
            </w:r>
          </w:p>
          <w:p w:rsidR="005B415B" w:rsidRPr="00D50E91" w:rsidDel="004C37E9" w:rsidRDefault="005B415B" w:rsidP="00B11587">
            <w:pPr>
              <w:jc w:val="center"/>
              <w:rPr>
                <w:sz w:val="20"/>
                <w:szCs w:val="20"/>
              </w:rPr>
            </w:pPr>
            <w:r w:rsidRPr="00D50E91">
              <w:rPr>
                <w:sz w:val="20"/>
                <w:szCs w:val="20"/>
              </w:rPr>
              <w:t>D</w:t>
            </w:r>
          </w:p>
        </w:tc>
        <w:tc>
          <w:tcPr>
            <w:tcW w:w="665" w:type="dxa"/>
            <w:tcBorders>
              <w:top w:val="single" w:sz="4" w:space="0" w:color="auto"/>
              <w:bottom w:val="single" w:sz="4" w:space="0" w:color="auto"/>
              <w:right w:val="single" w:sz="4" w:space="0" w:color="auto"/>
            </w:tcBorders>
          </w:tcPr>
          <w:p w:rsidR="005B415B" w:rsidRPr="00D50E91" w:rsidRDefault="005B415B" w:rsidP="00B11587">
            <w:pPr>
              <w:jc w:val="center"/>
              <w:rPr>
                <w:sz w:val="20"/>
                <w:szCs w:val="20"/>
              </w:rPr>
            </w:pPr>
            <w:r w:rsidRPr="00D50E91">
              <w:rPr>
                <w:sz w:val="20"/>
                <w:szCs w:val="20"/>
              </w:rPr>
              <w:t>15</w:t>
            </w:r>
          </w:p>
          <w:p w:rsidR="005B415B" w:rsidRPr="00D50E91" w:rsidDel="004C37E9" w:rsidRDefault="005B415B" w:rsidP="00B11587">
            <w:pPr>
              <w:jc w:val="center"/>
              <w:rPr>
                <w:sz w:val="20"/>
                <w:szCs w:val="20"/>
              </w:rPr>
            </w:pPr>
            <w:r w:rsidRPr="00D50E91">
              <w:rPr>
                <w:sz w:val="20"/>
                <w:szCs w:val="20"/>
              </w:rPr>
              <w:t>D</w:t>
            </w:r>
          </w:p>
        </w:tc>
        <w:tc>
          <w:tcPr>
            <w:tcW w:w="665" w:type="dxa"/>
            <w:tcBorders>
              <w:top w:val="single" w:sz="4" w:space="0" w:color="auto"/>
              <w:bottom w:val="single" w:sz="4" w:space="0" w:color="auto"/>
              <w:right w:val="single" w:sz="4" w:space="0" w:color="auto"/>
            </w:tcBorders>
            <w:shd w:val="clear" w:color="auto" w:fill="BFBFBF"/>
          </w:tcPr>
          <w:p w:rsidR="005B415B" w:rsidRPr="00D50E91" w:rsidRDefault="005B415B" w:rsidP="00B11587">
            <w:pPr>
              <w:autoSpaceDE w:val="0"/>
              <w:autoSpaceDN w:val="0"/>
              <w:adjustRightInd w:val="0"/>
              <w:ind w:right="56"/>
              <w:jc w:val="center"/>
              <w:rPr>
                <w:sz w:val="20"/>
                <w:szCs w:val="20"/>
              </w:rPr>
            </w:pPr>
            <w:r w:rsidRPr="00D50E91">
              <w:rPr>
                <w:sz w:val="20"/>
                <w:szCs w:val="20"/>
              </w:rPr>
              <w:t>15</w:t>
            </w:r>
          </w:p>
          <w:p w:rsidR="005B415B" w:rsidRPr="00D50E91" w:rsidRDefault="005B415B" w:rsidP="00B11587">
            <w:pPr>
              <w:autoSpaceDE w:val="0"/>
              <w:autoSpaceDN w:val="0"/>
              <w:adjustRightInd w:val="0"/>
              <w:ind w:right="56"/>
              <w:jc w:val="center"/>
              <w:rPr>
                <w:sz w:val="20"/>
                <w:szCs w:val="20"/>
              </w:rPr>
            </w:pPr>
            <w:r w:rsidRPr="00D50E91">
              <w:rPr>
                <w:sz w:val="20"/>
                <w:szCs w:val="20"/>
              </w:rPr>
              <w:t>D</w:t>
            </w:r>
          </w:p>
        </w:tc>
        <w:tc>
          <w:tcPr>
            <w:tcW w:w="729" w:type="dxa"/>
            <w:gridSpan w:val="3"/>
            <w:tcBorders>
              <w:top w:val="single" w:sz="4" w:space="0" w:color="auto"/>
              <w:bottom w:val="single" w:sz="4" w:space="0" w:color="auto"/>
              <w:right w:val="single" w:sz="4" w:space="0" w:color="auto"/>
            </w:tcBorders>
            <w:shd w:val="clear" w:color="auto" w:fill="BFBFBF"/>
          </w:tcPr>
          <w:p w:rsidR="005B415B" w:rsidRPr="00D50E91" w:rsidRDefault="005B415B" w:rsidP="00B11587">
            <w:pPr>
              <w:jc w:val="center"/>
              <w:rPr>
                <w:sz w:val="20"/>
                <w:szCs w:val="20"/>
              </w:rPr>
            </w:pPr>
            <w:r w:rsidRPr="00D50E91">
              <w:rPr>
                <w:sz w:val="20"/>
                <w:szCs w:val="20"/>
              </w:rPr>
              <w:t>15</w:t>
            </w:r>
          </w:p>
          <w:p w:rsidR="005B415B" w:rsidRPr="00D50E91" w:rsidRDefault="005B415B" w:rsidP="00B11587">
            <w:pPr>
              <w:jc w:val="center"/>
              <w:rPr>
                <w:sz w:val="20"/>
                <w:szCs w:val="20"/>
              </w:rPr>
            </w:pPr>
            <w:r w:rsidRPr="00D50E91">
              <w:rPr>
                <w:sz w:val="20"/>
                <w:szCs w:val="20"/>
              </w:rPr>
              <w:t>D</w:t>
            </w:r>
          </w:p>
        </w:tc>
        <w:tc>
          <w:tcPr>
            <w:tcW w:w="817" w:type="dxa"/>
            <w:tcBorders>
              <w:top w:val="single" w:sz="4" w:space="0" w:color="auto"/>
              <w:bottom w:val="single" w:sz="4" w:space="0" w:color="auto"/>
              <w:right w:val="single" w:sz="4" w:space="0" w:color="auto"/>
            </w:tcBorders>
            <w:shd w:val="clear" w:color="auto" w:fill="BFBFBF"/>
          </w:tcPr>
          <w:p w:rsidR="005B415B" w:rsidRPr="00D50E91" w:rsidRDefault="005B415B" w:rsidP="00B11587">
            <w:pPr>
              <w:jc w:val="center"/>
              <w:rPr>
                <w:sz w:val="20"/>
                <w:szCs w:val="20"/>
              </w:rPr>
            </w:pPr>
            <w:r w:rsidRPr="00D50E91">
              <w:rPr>
                <w:sz w:val="20"/>
                <w:szCs w:val="20"/>
              </w:rPr>
              <w:t>15</w:t>
            </w:r>
          </w:p>
          <w:p w:rsidR="005B415B" w:rsidRPr="00D50E91" w:rsidRDefault="005B415B" w:rsidP="00B11587">
            <w:pPr>
              <w:jc w:val="center"/>
              <w:rPr>
                <w:sz w:val="20"/>
                <w:szCs w:val="20"/>
              </w:rPr>
            </w:pPr>
            <w:r w:rsidRPr="00D50E91">
              <w:rPr>
                <w:sz w:val="20"/>
                <w:szCs w:val="20"/>
              </w:rPr>
              <w:t>A2</w:t>
            </w:r>
          </w:p>
          <w:p w:rsidR="005B415B" w:rsidRPr="00D50E91" w:rsidRDefault="005B415B" w:rsidP="00B11587">
            <w:pPr>
              <w:jc w:val="center"/>
              <w:rPr>
                <w:sz w:val="20"/>
                <w:szCs w:val="20"/>
              </w:rPr>
            </w:pPr>
          </w:p>
        </w:tc>
        <w:tc>
          <w:tcPr>
            <w:tcW w:w="665" w:type="dxa"/>
            <w:tcBorders>
              <w:top w:val="single" w:sz="4" w:space="0" w:color="auto"/>
              <w:bottom w:val="single" w:sz="4" w:space="0" w:color="auto"/>
              <w:right w:val="single" w:sz="4" w:space="0" w:color="auto"/>
            </w:tcBorders>
          </w:tcPr>
          <w:p w:rsidR="005B415B" w:rsidRPr="00D50E91" w:rsidRDefault="005B415B" w:rsidP="00B11587">
            <w:pPr>
              <w:jc w:val="center"/>
              <w:rPr>
                <w:sz w:val="20"/>
                <w:szCs w:val="20"/>
              </w:rPr>
            </w:pPr>
            <w:r w:rsidRPr="00D50E91">
              <w:rPr>
                <w:sz w:val="20"/>
                <w:szCs w:val="20"/>
              </w:rPr>
              <w:t>15</w:t>
            </w:r>
          </w:p>
          <w:p w:rsidR="005B415B" w:rsidRPr="00D50E91" w:rsidRDefault="005B415B" w:rsidP="00B11587">
            <w:pPr>
              <w:jc w:val="center"/>
              <w:rPr>
                <w:sz w:val="20"/>
                <w:szCs w:val="20"/>
              </w:rPr>
            </w:pPr>
            <w:r w:rsidRPr="00D50E91">
              <w:rPr>
                <w:sz w:val="20"/>
                <w:szCs w:val="20"/>
              </w:rPr>
              <w:t>D</w:t>
            </w:r>
          </w:p>
        </w:tc>
        <w:tc>
          <w:tcPr>
            <w:tcW w:w="666" w:type="dxa"/>
            <w:tcBorders>
              <w:top w:val="single" w:sz="4" w:space="0" w:color="auto"/>
              <w:bottom w:val="single" w:sz="4" w:space="0" w:color="auto"/>
              <w:right w:val="single" w:sz="4" w:space="0" w:color="auto"/>
            </w:tcBorders>
          </w:tcPr>
          <w:p w:rsidR="005B415B" w:rsidRPr="00D50E91" w:rsidRDefault="005B415B" w:rsidP="00B11587">
            <w:pPr>
              <w:jc w:val="center"/>
              <w:rPr>
                <w:sz w:val="20"/>
                <w:szCs w:val="20"/>
              </w:rPr>
            </w:pPr>
            <w:r w:rsidRPr="00D50E91">
              <w:rPr>
                <w:sz w:val="20"/>
                <w:szCs w:val="20"/>
              </w:rPr>
              <w:t>30</w:t>
            </w:r>
          </w:p>
          <w:p w:rsidR="005B415B" w:rsidRPr="00D50E91" w:rsidRDefault="005B415B" w:rsidP="00B11587">
            <w:pPr>
              <w:jc w:val="center"/>
              <w:rPr>
                <w:sz w:val="20"/>
                <w:szCs w:val="20"/>
              </w:rPr>
            </w:pPr>
            <w:r w:rsidRPr="00D50E91">
              <w:rPr>
                <w:sz w:val="20"/>
                <w:szCs w:val="20"/>
              </w:rPr>
              <w:t>A2</w:t>
            </w:r>
          </w:p>
        </w:tc>
        <w:tc>
          <w:tcPr>
            <w:tcW w:w="665" w:type="dxa"/>
            <w:tcBorders>
              <w:top w:val="single" w:sz="4" w:space="0" w:color="auto"/>
              <w:bottom w:val="single" w:sz="4" w:space="0" w:color="auto"/>
              <w:right w:val="single" w:sz="4" w:space="0" w:color="auto"/>
            </w:tcBorders>
          </w:tcPr>
          <w:p w:rsidR="005B415B" w:rsidRPr="00D50E91" w:rsidRDefault="005B415B" w:rsidP="00B11587">
            <w:pPr>
              <w:jc w:val="center"/>
              <w:rPr>
                <w:sz w:val="20"/>
                <w:szCs w:val="20"/>
              </w:rPr>
            </w:pPr>
            <w:r w:rsidRPr="00D50E91">
              <w:rPr>
                <w:sz w:val="20"/>
                <w:szCs w:val="20"/>
              </w:rPr>
              <w:t>30</w:t>
            </w:r>
          </w:p>
          <w:p w:rsidR="005B415B" w:rsidRPr="00D50E91" w:rsidRDefault="005B415B" w:rsidP="00B11587">
            <w:pPr>
              <w:jc w:val="center"/>
              <w:rPr>
                <w:sz w:val="20"/>
                <w:szCs w:val="20"/>
              </w:rPr>
            </w:pPr>
            <w:r w:rsidRPr="00D50E91">
              <w:rPr>
                <w:sz w:val="20"/>
                <w:szCs w:val="20"/>
              </w:rPr>
              <w:t>A2</w:t>
            </w:r>
          </w:p>
        </w:tc>
        <w:tc>
          <w:tcPr>
            <w:tcW w:w="665" w:type="dxa"/>
            <w:tcBorders>
              <w:top w:val="single" w:sz="4" w:space="0" w:color="auto"/>
              <w:bottom w:val="single" w:sz="4" w:space="0" w:color="auto"/>
              <w:right w:val="single" w:sz="4" w:space="0" w:color="auto"/>
            </w:tcBorders>
            <w:shd w:val="clear" w:color="auto" w:fill="BFBFBF"/>
          </w:tcPr>
          <w:p w:rsidR="005B415B" w:rsidRPr="00D50E91" w:rsidRDefault="005B415B" w:rsidP="00B11587">
            <w:pPr>
              <w:jc w:val="center"/>
              <w:rPr>
                <w:sz w:val="20"/>
                <w:szCs w:val="20"/>
              </w:rPr>
            </w:pPr>
            <w:r w:rsidRPr="00D50E91">
              <w:rPr>
                <w:sz w:val="20"/>
                <w:szCs w:val="20"/>
              </w:rPr>
              <w:t>30</w:t>
            </w:r>
          </w:p>
          <w:p w:rsidR="005B415B" w:rsidRPr="00D50E91" w:rsidRDefault="005B415B" w:rsidP="00B11587">
            <w:pPr>
              <w:jc w:val="center"/>
              <w:rPr>
                <w:sz w:val="20"/>
                <w:szCs w:val="20"/>
              </w:rPr>
            </w:pPr>
            <w:r w:rsidRPr="00D50E91">
              <w:rPr>
                <w:sz w:val="20"/>
                <w:szCs w:val="20"/>
              </w:rPr>
              <w:t>A2</w:t>
            </w:r>
          </w:p>
        </w:tc>
        <w:tc>
          <w:tcPr>
            <w:tcW w:w="665" w:type="dxa"/>
            <w:tcBorders>
              <w:top w:val="single" w:sz="4" w:space="0" w:color="auto"/>
              <w:bottom w:val="single" w:sz="4" w:space="0" w:color="auto"/>
              <w:right w:val="single" w:sz="4" w:space="0" w:color="auto"/>
            </w:tcBorders>
            <w:shd w:val="clear" w:color="auto" w:fill="BFBFBF"/>
          </w:tcPr>
          <w:p w:rsidR="005B415B" w:rsidRPr="00D50E91" w:rsidRDefault="005B415B" w:rsidP="00B11587">
            <w:pPr>
              <w:jc w:val="center"/>
              <w:rPr>
                <w:sz w:val="20"/>
                <w:szCs w:val="20"/>
              </w:rPr>
            </w:pPr>
            <w:r w:rsidRPr="00D50E91">
              <w:rPr>
                <w:sz w:val="20"/>
                <w:szCs w:val="20"/>
              </w:rPr>
              <w:t>30</w:t>
            </w:r>
          </w:p>
          <w:p w:rsidR="005B415B" w:rsidRPr="00D50E91" w:rsidRDefault="005B415B" w:rsidP="00B11587">
            <w:pPr>
              <w:jc w:val="center"/>
              <w:rPr>
                <w:sz w:val="20"/>
                <w:szCs w:val="20"/>
              </w:rPr>
            </w:pPr>
            <w:r w:rsidRPr="00D50E91">
              <w:rPr>
                <w:sz w:val="20"/>
                <w:szCs w:val="20"/>
              </w:rPr>
              <w:t>A2</w:t>
            </w:r>
          </w:p>
          <w:p w:rsidR="005B415B" w:rsidRPr="00D50E91" w:rsidRDefault="005B415B" w:rsidP="00B11587">
            <w:pPr>
              <w:jc w:val="center"/>
              <w:rPr>
                <w:sz w:val="20"/>
                <w:szCs w:val="20"/>
              </w:rPr>
            </w:pPr>
          </w:p>
        </w:tc>
        <w:tc>
          <w:tcPr>
            <w:tcW w:w="665" w:type="dxa"/>
            <w:tcBorders>
              <w:top w:val="single" w:sz="4" w:space="0" w:color="auto"/>
              <w:bottom w:val="single" w:sz="4" w:space="0" w:color="auto"/>
              <w:right w:val="single" w:sz="4" w:space="0" w:color="auto"/>
            </w:tcBorders>
            <w:shd w:val="clear" w:color="auto" w:fill="BFBFBF"/>
          </w:tcPr>
          <w:p w:rsidR="005B415B" w:rsidRPr="00D50E91" w:rsidRDefault="005B415B" w:rsidP="00B11587">
            <w:pPr>
              <w:jc w:val="center"/>
              <w:rPr>
                <w:sz w:val="20"/>
                <w:szCs w:val="20"/>
              </w:rPr>
            </w:pPr>
            <w:r w:rsidRPr="00D50E91">
              <w:rPr>
                <w:sz w:val="20"/>
                <w:szCs w:val="20"/>
              </w:rPr>
              <w:t>60</w:t>
            </w:r>
          </w:p>
          <w:p w:rsidR="005B415B" w:rsidRPr="00D50E91" w:rsidRDefault="005B415B" w:rsidP="00B11587">
            <w:pPr>
              <w:jc w:val="center"/>
              <w:rPr>
                <w:sz w:val="20"/>
                <w:szCs w:val="20"/>
              </w:rPr>
            </w:pPr>
            <w:r w:rsidRPr="00D50E91">
              <w:rPr>
                <w:sz w:val="20"/>
                <w:szCs w:val="20"/>
              </w:rPr>
              <w:t>A2</w:t>
            </w:r>
          </w:p>
        </w:tc>
      </w:tr>
      <w:tr w:rsidR="005B415B" w:rsidRPr="00D50E91" w:rsidTr="00B11587">
        <w:tc>
          <w:tcPr>
            <w:tcW w:w="400" w:type="dxa"/>
            <w:tcBorders>
              <w:top w:val="single" w:sz="4" w:space="0" w:color="auto"/>
              <w:left w:val="single" w:sz="4" w:space="0" w:color="auto"/>
              <w:bottom w:val="single" w:sz="4" w:space="0" w:color="auto"/>
              <w:right w:val="single" w:sz="4" w:space="0" w:color="auto"/>
            </w:tcBorders>
          </w:tcPr>
          <w:p w:rsidR="005B415B" w:rsidRPr="00D50E91" w:rsidRDefault="003D757E" w:rsidP="00B11587">
            <w:pPr>
              <w:autoSpaceDE w:val="0"/>
              <w:autoSpaceDN w:val="0"/>
              <w:adjustRightInd w:val="0"/>
              <w:ind w:left="56" w:right="56"/>
              <w:jc w:val="center"/>
              <w:rPr>
                <w:sz w:val="20"/>
                <w:szCs w:val="20"/>
              </w:rPr>
            </w:pPr>
            <w:r w:rsidRPr="00D50E91">
              <w:rPr>
                <w:sz w:val="20"/>
                <w:szCs w:val="20"/>
              </w:rPr>
              <w:t xml:space="preserve"> </w:t>
            </w:r>
            <w:r w:rsidR="005B415B" w:rsidRPr="00D50E91">
              <w:rPr>
                <w:sz w:val="20"/>
                <w:szCs w:val="20"/>
              </w:rPr>
              <w:t>8</w:t>
            </w:r>
          </w:p>
        </w:tc>
        <w:tc>
          <w:tcPr>
            <w:tcW w:w="5880" w:type="dxa"/>
            <w:gridSpan w:val="2"/>
            <w:tcBorders>
              <w:top w:val="single" w:sz="4" w:space="0" w:color="auto"/>
              <w:left w:val="single" w:sz="4" w:space="0" w:color="auto"/>
              <w:bottom w:val="single" w:sz="4" w:space="0" w:color="auto"/>
              <w:right w:val="single" w:sz="4" w:space="0" w:color="auto"/>
            </w:tcBorders>
            <w:vAlign w:val="center"/>
          </w:tcPr>
          <w:p w:rsidR="005B415B" w:rsidRPr="00D50E91" w:rsidRDefault="003D757E" w:rsidP="00B11587">
            <w:pPr>
              <w:rPr>
                <w:sz w:val="20"/>
                <w:szCs w:val="20"/>
              </w:rPr>
            </w:pPr>
            <w:r w:rsidRPr="00D50E91">
              <w:rPr>
                <w:sz w:val="20"/>
                <w:szCs w:val="20"/>
              </w:rPr>
              <w:t xml:space="preserve"> </w:t>
            </w:r>
            <w:r w:rsidR="005B415B" w:rsidRPr="00D50E91">
              <w:rPr>
                <w:sz w:val="20"/>
                <w:szCs w:val="20"/>
              </w:rPr>
              <w:t>Épületen belüli és menekülési útvonalnak minősülő lépcsők és lépcsőpihenők tartószerkezetei és járófelületének alátámasztó szerkezetei</w:t>
            </w:r>
          </w:p>
        </w:tc>
        <w:tc>
          <w:tcPr>
            <w:tcW w:w="904" w:type="dxa"/>
            <w:tcBorders>
              <w:top w:val="single" w:sz="4" w:space="0" w:color="auto"/>
              <w:left w:val="single" w:sz="4" w:space="0" w:color="auto"/>
              <w:bottom w:val="single" w:sz="4" w:space="0" w:color="auto"/>
              <w:right w:val="single" w:sz="4" w:space="0" w:color="auto"/>
            </w:tcBorders>
            <w:vAlign w:val="center"/>
          </w:tcPr>
          <w:p w:rsidR="005B415B" w:rsidRPr="00D50E91" w:rsidRDefault="005B415B" w:rsidP="00B11587">
            <w:pPr>
              <w:autoSpaceDE w:val="0"/>
              <w:autoSpaceDN w:val="0"/>
              <w:adjustRightInd w:val="0"/>
              <w:ind w:right="56"/>
              <w:jc w:val="center"/>
              <w:rPr>
                <w:sz w:val="20"/>
                <w:szCs w:val="20"/>
              </w:rPr>
            </w:pPr>
            <w:r w:rsidRPr="00D50E91">
              <w:rPr>
                <w:sz w:val="20"/>
                <w:szCs w:val="20"/>
              </w:rPr>
              <w:t>R</w:t>
            </w:r>
          </w:p>
        </w:tc>
        <w:tc>
          <w:tcPr>
            <w:tcW w:w="665" w:type="dxa"/>
            <w:tcBorders>
              <w:top w:val="single" w:sz="4" w:space="0" w:color="auto"/>
              <w:bottom w:val="single" w:sz="4" w:space="0" w:color="auto"/>
              <w:right w:val="single" w:sz="4" w:space="0" w:color="auto"/>
            </w:tcBorders>
          </w:tcPr>
          <w:p w:rsidR="005B415B" w:rsidRPr="00D50E91" w:rsidDel="004C37E9" w:rsidRDefault="005B415B" w:rsidP="00B11587">
            <w:pPr>
              <w:jc w:val="center"/>
              <w:rPr>
                <w:sz w:val="20"/>
                <w:szCs w:val="20"/>
              </w:rPr>
            </w:pPr>
            <w:r w:rsidRPr="00D50E91">
              <w:rPr>
                <w:sz w:val="20"/>
                <w:szCs w:val="20"/>
              </w:rPr>
              <w:t>15</w:t>
            </w:r>
          </w:p>
        </w:tc>
        <w:tc>
          <w:tcPr>
            <w:tcW w:w="665" w:type="dxa"/>
            <w:tcBorders>
              <w:top w:val="single" w:sz="4" w:space="0" w:color="auto"/>
              <w:bottom w:val="single" w:sz="4" w:space="0" w:color="auto"/>
              <w:right w:val="single" w:sz="4" w:space="0" w:color="auto"/>
            </w:tcBorders>
          </w:tcPr>
          <w:p w:rsidR="005B415B" w:rsidRPr="00D50E91" w:rsidDel="004C37E9" w:rsidRDefault="005B415B" w:rsidP="00B11587">
            <w:pPr>
              <w:jc w:val="center"/>
              <w:rPr>
                <w:sz w:val="20"/>
                <w:szCs w:val="20"/>
              </w:rPr>
            </w:pPr>
            <w:r w:rsidRPr="00D50E91">
              <w:rPr>
                <w:sz w:val="20"/>
                <w:szCs w:val="20"/>
              </w:rPr>
              <w:t>30</w:t>
            </w:r>
          </w:p>
        </w:tc>
        <w:tc>
          <w:tcPr>
            <w:tcW w:w="665" w:type="dxa"/>
            <w:tcBorders>
              <w:top w:val="single" w:sz="4" w:space="0" w:color="auto"/>
              <w:bottom w:val="single" w:sz="4" w:space="0" w:color="auto"/>
              <w:right w:val="single" w:sz="4" w:space="0" w:color="auto"/>
            </w:tcBorders>
          </w:tcPr>
          <w:p w:rsidR="005B415B" w:rsidRPr="00D50E91" w:rsidDel="004C37E9" w:rsidRDefault="005B415B" w:rsidP="00B11587">
            <w:pPr>
              <w:jc w:val="center"/>
              <w:rPr>
                <w:sz w:val="20"/>
                <w:szCs w:val="20"/>
              </w:rPr>
            </w:pPr>
            <w:r w:rsidRPr="00D50E91">
              <w:rPr>
                <w:sz w:val="20"/>
                <w:szCs w:val="20"/>
              </w:rPr>
              <w:t>60</w:t>
            </w:r>
          </w:p>
        </w:tc>
        <w:tc>
          <w:tcPr>
            <w:tcW w:w="665" w:type="dxa"/>
            <w:tcBorders>
              <w:top w:val="single" w:sz="4" w:space="0" w:color="auto"/>
              <w:bottom w:val="single" w:sz="4" w:space="0" w:color="auto"/>
              <w:right w:val="single" w:sz="4" w:space="0" w:color="auto"/>
            </w:tcBorders>
          </w:tcPr>
          <w:p w:rsidR="005B415B" w:rsidRPr="00D50E91" w:rsidRDefault="005B415B" w:rsidP="00B11587">
            <w:pPr>
              <w:autoSpaceDE w:val="0"/>
              <w:autoSpaceDN w:val="0"/>
              <w:adjustRightInd w:val="0"/>
              <w:ind w:right="56"/>
              <w:jc w:val="center"/>
              <w:rPr>
                <w:sz w:val="20"/>
                <w:szCs w:val="20"/>
              </w:rPr>
            </w:pPr>
            <w:r w:rsidRPr="00D50E91">
              <w:rPr>
                <w:sz w:val="20"/>
                <w:szCs w:val="20"/>
              </w:rPr>
              <w:t>30</w:t>
            </w:r>
          </w:p>
        </w:tc>
        <w:tc>
          <w:tcPr>
            <w:tcW w:w="729" w:type="dxa"/>
            <w:gridSpan w:val="3"/>
            <w:tcBorders>
              <w:top w:val="single" w:sz="4" w:space="0" w:color="auto"/>
              <w:bottom w:val="single" w:sz="4" w:space="0" w:color="auto"/>
              <w:right w:val="single" w:sz="4" w:space="0" w:color="auto"/>
            </w:tcBorders>
          </w:tcPr>
          <w:p w:rsidR="005B415B" w:rsidRPr="00D50E91" w:rsidRDefault="005B415B" w:rsidP="00B11587">
            <w:pPr>
              <w:jc w:val="center"/>
              <w:rPr>
                <w:sz w:val="20"/>
                <w:szCs w:val="20"/>
              </w:rPr>
            </w:pPr>
            <w:r w:rsidRPr="00D50E91">
              <w:rPr>
                <w:sz w:val="20"/>
                <w:szCs w:val="20"/>
              </w:rPr>
              <w:t>30</w:t>
            </w:r>
          </w:p>
        </w:tc>
        <w:tc>
          <w:tcPr>
            <w:tcW w:w="817" w:type="dxa"/>
            <w:tcBorders>
              <w:top w:val="single" w:sz="4" w:space="0" w:color="auto"/>
              <w:bottom w:val="single" w:sz="4" w:space="0" w:color="auto"/>
              <w:right w:val="single" w:sz="4" w:space="0" w:color="auto"/>
            </w:tcBorders>
          </w:tcPr>
          <w:p w:rsidR="005B415B" w:rsidRPr="00D50E91" w:rsidRDefault="005B415B" w:rsidP="00B11587">
            <w:pPr>
              <w:jc w:val="center"/>
              <w:rPr>
                <w:sz w:val="20"/>
                <w:szCs w:val="20"/>
              </w:rPr>
            </w:pPr>
            <w:r w:rsidRPr="00D50E91">
              <w:rPr>
                <w:sz w:val="20"/>
                <w:szCs w:val="20"/>
              </w:rPr>
              <w:t>60</w:t>
            </w:r>
          </w:p>
          <w:p w:rsidR="005B415B" w:rsidRPr="00D50E91" w:rsidRDefault="005B415B" w:rsidP="00B11587">
            <w:pPr>
              <w:jc w:val="center"/>
              <w:rPr>
                <w:sz w:val="20"/>
                <w:szCs w:val="20"/>
              </w:rPr>
            </w:pPr>
            <w:r w:rsidRPr="00D50E91">
              <w:rPr>
                <w:sz w:val="20"/>
                <w:szCs w:val="20"/>
              </w:rPr>
              <w:t>A2</w:t>
            </w:r>
          </w:p>
        </w:tc>
        <w:tc>
          <w:tcPr>
            <w:tcW w:w="665" w:type="dxa"/>
            <w:tcBorders>
              <w:top w:val="single" w:sz="4" w:space="0" w:color="auto"/>
              <w:bottom w:val="single" w:sz="4" w:space="0" w:color="auto"/>
              <w:right w:val="single" w:sz="4" w:space="0" w:color="auto"/>
            </w:tcBorders>
          </w:tcPr>
          <w:p w:rsidR="005B415B" w:rsidRPr="00D50E91" w:rsidRDefault="005B415B" w:rsidP="00B11587">
            <w:pPr>
              <w:jc w:val="center"/>
              <w:rPr>
                <w:sz w:val="20"/>
                <w:szCs w:val="20"/>
              </w:rPr>
            </w:pPr>
            <w:r w:rsidRPr="00D50E91">
              <w:rPr>
                <w:sz w:val="20"/>
                <w:szCs w:val="20"/>
              </w:rPr>
              <w:t>30</w:t>
            </w:r>
          </w:p>
        </w:tc>
        <w:tc>
          <w:tcPr>
            <w:tcW w:w="666" w:type="dxa"/>
            <w:tcBorders>
              <w:top w:val="single" w:sz="4" w:space="0" w:color="auto"/>
              <w:bottom w:val="single" w:sz="4" w:space="0" w:color="auto"/>
              <w:right w:val="single" w:sz="4" w:space="0" w:color="auto"/>
            </w:tcBorders>
          </w:tcPr>
          <w:p w:rsidR="005B415B" w:rsidRPr="00D50E91" w:rsidRDefault="005B415B" w:rsidP="00B11587">
            <w:pPr>
              <w:jc w:val="center"/>
              <w:rPr>
                <w:sz w:val="20"/>
                <w:szCs w:val="20"/>
              </w:rPr>
            </w:pPr>
            <w:r w:rsidRPr="00D50E91">
              <w:rPr>
                <w:sz w:val="20"/>
                <w:szCs w:val="20"/>
              </w:rPr>
              <w:t>60</w:t>
            </w:r>
          </w:p>
        </w:tc>
        <w:tc>
          <w:tcPr>
            <w:tcW w:w="665" w:type="dxa"/>
            <w:tcBorders>
              <w:top w:val="single" w:sz="4" w:space="0" w:color="auto"/>
              <w:bottom w:val="single" w:sz="4" w:space="0" w:color="auto"/>
              <w:right w:val="single" w:sz="4" w:space="0" w:color="auto"/>
            </w:tcBorders>
          </w:tcPr>
          <w:p w:rsidR="005B415B" w:rsidRPr="00D50E91" w:rsidRDefault="005B415B" w:rsidP="00B11587">
            <w:pPr>
              <w:jc w:val="center"/>
              <w:rPr>
                <w:sz w:val="20"/>
                <w:szCs w:val="20"/>
              </w:rPr>
            </w:pPr>
            <w:r w:rsidRPr="00D50E91">
              <w:rPr>
                <w:sz w:val="20"/>
                <w:szCs w:val="20"/>
              </w:rPr>
              <w:t>90</w:t>
            </w:r>
          </w:p>
          <w:p w:rsidR="005B415B" w:rsidRPr="00D50E91" w:rsidRDefault="005B415B" w:rsidP="00B11587">
            <w:pPr>
              <w:jc w:val="center"/>
              <w:rPr>
                <w:sz w:val="20"/>
                <w:szCs w:val="20"/>
              </w:rPr>
            </w:pPr>
            <w:r w:rsidRPr="00D50E91">
              <w:rPr>
                <w:sz w:val="20"/>
                <w:szCs w:val="20"/>
              </w:rPr>
              <w:t>A2</w:t>
            </w:r>
          </w:p>
        </w:tc>
        <w:tc>
          <w:tcPr>
            <w:tcW w:w="665" w:type="dxa"/>
            <w:tcBorders>
              <w:top w:val="single" w:sz="4" w:space="0" w:color="auto"/>
              <w:bottom w:val="single" w:sz="4" w:space="0" w:color="auto"/>
              <w:right w:val="single" w:sz="4" w:space="0" w:color="auto"/>
            </w:tcBorders>
          </w:tcPr>
          <w:p w:rsidR="005B415B" w:rsidRPr="00D50E91" w:rsidRDefault="005B415B" w:rsidP="00B11587">
            <w:pPr>
              <w:jc w:val="center"/>
              <w:rPr>
                <w:sz w:val="20"/>
                <w:szCs w:val="20"/>
              </w:rPr>
            </w:pPr>
            <w:r w:rsidRPr="00D50E91">
              <w:rPr>
                <w:sz w:val="20"/>
                <w:szCs w:val="20"/>
              </w:rPr>
              <w:t>60</w:t>
            </w:r>
          </w:p>
        </w:tc>
        <w:tc>
          <w:tcPr>
            <w:tcW w:w="1330" w:type="dxa"/>
            <w:gridSpan w:val="2"/>
            <w:tcBorders>
              <w:top w:val="single" w:sz="4" w:space="0" w:color="auto"/>
              <w:bottom w:val="single" w:sz="4" w:space="0" w:color="auto"/>
              <w:right w:val="single" w:sz="4" w:space="0" w:color="auto"/>
            </w:tcBorders>
          </w:tcPr>
          <w:p w:rsidR="005B415B" w:rsidRPr="00D50E91" w:rsidRDefault="005B415B" w:rsidP="00B11587">
            <w:pPr>
              <w:jc w:val="center"/>
              <w:rPr>
                <w:sz w:val="20"/>
                <w:szCs w:val="20"/>
              </w:rPr>
            </w:pPr>
            <w:r w:rsidRPr="00D50E91">
              <w:rPr>
                <w:sz w:val="20"/>
                <w:szCs w:val="20"/>
              </w:rPr>
              <w:t>90</w:t>
            </w:r>
          </w:p>
          <w:p w:rsidR="005B415B" w:rsidRPr="00D50E91" w:rsidRDefault="005B415B" w:rsidP="00B11587">
            <w:pPr>
              <w:jc w:val="center"/>
              <w:rPr>
                <w:sz w:val="20"/>
                <w:szCs w:val="20"/>
              </w:rPr>
            </w:pPr>
            <w:r w:rsidRPr="00D50E91">
              <w:rPr>
                <w:sz w:val="20"/>
                <w:szCs w:val="20"/>
              </w:rPr>
              <w:t>A2</w:t>
            </w:r>
          </w:p>
        </w:tc>
      </w:tr>
      <w:tr w:rsidR="005B415B" w:rsidRPr="00D50E91" w:rsidTr="00B11587">
        <w:tc>
          <w:tcPr>
            <w:tcW w:w="400" w:type="dxa"/>
            <w:tcBorders>
              <w:top w:val="single" w:sz="4" w:space="0" w:color="auto"/>
              <w:left w:val="single" w:sz="4" w:space="0" w:color="auto"/>
              <w:bottom w:val="single" w:sz="4" w:space="0" w:color="auto"/>
              <w:right w:val="single" w:sz="4" w:space="0" w:color="auto"/>
            </w:tcBorders>
          </w:tcPr>
          <w:p w:rsidR="005B415B" w:rsidRPr="00D50E91" w:rsidRDefault="003D757E" w:rsidP="00B11587">
            <w:pPr>
              <w:autoSpaceDE w:val="0"/>
              <w:autoSpaceDN w:val="0"/>
              <w:adjustRightInd w:val="0"/>
              <w:ind w:left="56" w:right="56"/>
              <w:jc w:val="center"/>
              <w:rPr>
                <w:sz w:val="20"/>
                <w:szCs w:val="20"/>
              </w:rPr>
            </w:pPr>
            <w:r w:rsidRPr="00D50E91">
              <w:rPr>
                <w:sz w:val="20"/>
                <w:szCs w:val="20"/>
              </w:rPr>
              <w:t xml:space="preserve"> </w:t>
            </w:r>
            <w:r w:rsidR="005B415B" w:rsidRPr="00D50E91">
              <w:rPr>
                <w:sz w:val="20"/>
                <w:szCs w:val="20"/>
              </w:rPr>
              <w:t>9</w:t>
            </w:r>
          </w:p>
        </w:tc>
        <w:tc>
          <w:tcPr>
            <w:tcW w:w="5880" w:type="dxa"/>
            <w:gridSpan w:val="2"/>
            <w:tcBorders>
              <w:top w:val="single" w:sz="4" w:space="0" w:color="auto"/>
              <w:left w:val="single" w:sz="4" w:space="0" w:color="auto"/>
              <w:bottom w:val="single" w:sz="4" w:space="0" w:color="auto"/>
              <w:right w:val="single" w:sz="4" w:space="0" w:color="auto"/>
            </w:tcBorders>
          </w:tcPr>
          <w:p w:rsidR="005B415B" w:rsidRPr="00D50E91" w:rsidRDefault="005B415B" w:rsidP="00B11587">
            <w:pPr>
              <w:rPr>
                <w:sz w:val="20"/>
                <w:szCs w:val="20"/>
              </w:rPr>
            </w:pPr>
            <w:r w:rsidRPr="00D50E91">
              <w:rPr>
                <w:sz w:val="20"/>
                <w:szCs w:val="20"/>
              </w:rPr>
              <w:t xml:space="preserve"> Menekülési útvonalat képező szabadlépcső tartószerkezete</w:t>
            </w:r>
          </w:p>
        </w:tc>
        <w:tc>
          <w:tcPr>
            <w:tcW w:w="904" w:type="dxa"/>
            <w:tcBorders>
              <w:top w:val="single" w:sz="4" w:space="0" w:color="auto"/>
              <w:left w:val="single" w:sz="4" w:space="0" w:color="auto"/>
              <w:bottom w:val="single" w:sz="4" w:space="0" w:color="auto"/>
              <w:right w:val="single" w:sz="4" w:space="0" w:color="auto"/>
            </w:tcBorders>
            <w:vAlign w:val="center"/>
          </w:tcPr>
          <w:p w:rsidR="005B415B" w:rsidRPr="00D50E91" w:rsidRDefault="003528A8" w:rsidP="00B11587">
            <w:pPr>
              <w:autoSpaceDE w:val="0"/>
              <w:autoSpaceDN w:val="0"/>
              <w:adjustRightInd w:val="0"/>
              <w:ind w:right="56"/>
              <w:jc w:val="center"/>
              <w:rPr>
                <w:sz w:val="20"/>
                <w:szCs w:val="20"/>
              </w:rPr>
            </w:pPr>
            <w:r>
              <w:rPr>
                <w:sz w:val="20"/>
                <w:szCs w:val="20"/>
              </w:rPr>
              <w:t>-</w:t>
            </w:r>
          </w:p>
        </w:tc>
        <w:tc>
          <w:tcPr>
            <w:tcW w:w="8197" w:type="dxa"/>
            <w:gridSpan w:val="14"/>
            <w:tcBorders>
              <w:top w:val="single" w:sz="4" w:space="0" w:color="auto"/>
              <w:bottom w:val="single" w:sz="4" w:space="0" w:color="auto"/>
              <w:right w:val="single" w:sz="4" w:space="0" w:color="auto"/>
            </w:tcBorders>
          </w:tcPr>
          <w:p w:rsidR="005B415B" w:rsidRPr="00D50E91" w:rsidRDefault="005B415B" w:rsidP="00B11587">
            <w:pPr>
              <w:jc w:val="center"/>
              <w:rPr>
                <w:sz w:val="20"/>
                <w:szCs w:val="20"/>
              </w:rPr>
            </w:pPr>
            <w:r w:rsidRPr="00D50E91">
              <w:rPr>
                <w:sz w:val="20"/>
                <w:szCs w:val="20"/>
              </w:rPr>
              <w:t xml:space="preserve">A2   </w:t>
            </w:r>
          </w:p>
        </w:tc>
      </w:tr>
      <w:tr w:rsidR="005B415B" w:rsidRPr="00D50E91" w:rsidTr="00B11587">
        <w:tc>
          <w:tcPr>
            <w:tcW w:w="400" w:type="dxa"/>
            <w:tcBorders>
              <w:top w:val="single" w:sz="4" w:space="0" w:color="auto"/>
              <w:left w:val="single" w:sz="4" w:space="0" w:color="auto"/>
              <w:bottom w:val="single" w:sz="4" w:space="0" w:color="auto"/>
              <w:right w:val="single" w:sz="4" w:space="0" w:color="auto"/>
            </w:tcBorders>
          </w:tcPr>
          <w:p w:rsidR="005B415B" w:rsidRPr="00D50E91" w:rsidRDefault="003D757E" w:rsidP="00B11587">
            <w:pPr>
              <w:autoSpaceDE w:val="0"/>
              <w:autoSpaceDN w:val="0"/>
              <w:adjustRightInd w:val="0"/>
              <w:ind w:left="56" w:right="56"/>
              <w:jc w:val="center"/>
              <w:rPr>
                <w:sz w:val="20"/>
                <w:szCs w:val="20"/>
              </w:rPr>
            </w:pPr>
            <w:r w:rsidRPr="00D50E91">
              <w:rPr>
                <w:sz w:val="20"/>
                <w:szCs w:val="20"/>
              </w:rPr>
              <w:t xml:space="preserve"> </w:t>
            </w:r>
            <w:r w:rsidR="005B415B" w:rsidRPr="00D50E91">
              <w:rPr>
                <w:sz w:val="20"/>
                <w:szCs w:val="20"/>
              </w:rPr>
              <w:t>10</w:t>
            </w:r>
          </w:p>
        </w:tc>
        <w:tc>
          <w:tcPr>
            <w:tcW w:w="5880" w:type="dxa"/>
            <w:gridSpan w:val="2"/>
            <w:tcBorders>
              <w:top w:val="single" w:sz="4" w:space="0" w:color="auto"/>
              <w:left w:val="single" w:sz="4" w:space="0" w:color="auto"/>
              <w:bottom w:val="single" w:sz="4" w:space="0" w:color="auto"/>
              <w:right w:val="single" w:sz="4" w:space="0" w:color="auto"/>
            </w:tcBorders>
            <w:vAlign w:val="center"/>
          </w:tcPr>
          <w:p w:rsidR="005B415B" w:rsidRPr="00D50E91" w:rsidRDefault="003D757E" w:rsidP="00B11587">
            <w:pPr>
              <w:rPr>
                <w:sz w:val="20"/>
                <w:szCs w:val="20"/>
              </w:rPr>
            </w:pPr>
            <w:r w:rsidRPr="00D50E91">
              <w:rPr>
                <w:sz w:val="20"/>
                <w:szCs w:val="20"/>
              </w:rPr>
              <w:t xml:space="preserve"> T</w:t>
            </w:r>
            <w:r w:rsidR="005B415B" w:rsidRPr="00D50E91">
              <w:rPr>
                <w:sz w:val="20"/>
                <w:szCs w:val="20"/>
              </w:rPr>
              <w:t>űzfal</w:t>
            </w:r>
          </w:p>
        </w:tc>
        <w:tc>
          <w:tcPr>
            <w:tcW w:w="904" w:type="dxa"/>
            <w:tcBorders>
              <w:top w:val="single" w:sz="4" w:space="0" w:color="auto"/>
              <w:left w:val="single" w:sz="4" w:space="0" w:color="auto"/>
              <w:bottom w:val="single" w:sz="4" w:space="0" w:color="auto"/>
              <w:right w:val="single" w:sz="4" w:space="0" w:color="auto"/>
            </w:tcBorders>
            <w:vAlign w:val="center"/>
          </w:tcPr>
          <w:p w:rsidR="005B415B" w:rsidRPr="00D50E91" w:rsidRDefault="005B415B" w:rsidP="00B11587">
            <w:pPr>
              <w:autoSpaceDE w:val="0"/>
              <w:autoSpaceDN w:val="0"/>
              <w:adjustRightInd w:val="0"/>
              <w:ind w:right="56"/>
              <w:jc w:val="center"/>
              <w:rPr>
                <w:sz w:val="20"/>
                <w:szCs w:val="20"/>
              </w:rPr>
            </w:pPr>
            <w:r w:rsidRPr="00D50E91">
              <w:rPr>
                <w:sz w:val="20"/>
                <w:szCs w:val="20"/>
              </w:rPr>
              <w:t xml:space="preserve"> REI</w:t>
            </w:r>
          </w:p>
        </w:tc>
        <w:tc>
          <w:tcPr>
            <w:tcW w:w="4206" w:type="dxa"/>
            <w:gridSpan w:val="8"/>
            <w:tcBorders>
              <w:top w:val="single" w:sz="4" w:space="0" w:color="auto"/>
              <w:bottom w:val="single" w:sz="4" w:space="0" w:color="auto"/>
              <w:right w:val="single" w:sz="4" w:space="0" w:color="auto"/>
            </w:tcBorders>
          </w:tcPr>
          <w:p w:rsidR="005B415B" w:rsidRPr="00D50E91" w:rsidRDefault="005B415B" w:rsidP="00B11587">
            <w:pPr>
              <w:jc w:val="center"/>
              <w:rPr>
                <w:sz w:val="20"/>
                <w:szCs w:val="20"/>
              </w:rPr>
            </w:pPr>
            <w:r w:rsidRPr="00D50E91">
              <w:rPr>
                <w:sz w:val="20"/>
                <w:szCs w:val="20"/>
              </w:rPr>
              <w:t>120</w:t>
            </w:r>
          </w:p>
          <w:p w:rsidR="005B415B" w:rsidRPr="00D50E91" w:rsidRDefault="005B415B" w:rsidP="00B11587">
            <w:pPr>
              <w:jc w:val="center"/>
              <w:rPr>
                <w:sz w:val="20"/>
                <w:szCs w:val="20"/>
              </w:rPr>
            </w:pPr>
            <w:r w:rsidRPr="00D50E91">
              <w:rPr>
                <w:sz w:val="20"/>
                <w:szCs w:val="20"/>
              </w:rPr>
              <w:t>A1</w:t>
            </w:r>
          </w:p>
        </w:tc>
        <w:tc>
          <w:tcPr>
            <w:tcW w:w="1996" w:type="dxa"/>
            <w:gridSpan w:val="3"/>
            <w:tcBorders>
              <w:top w:val="single" w:sz="4" w:space="0" w:color="auto"/>
              <w:bottom w:val="single" w:sz="4" w:space="0" w:color="auto"/>
              <w:right w:val="single" w:sz="4" w:space="0" w:color="auto"/>
            </w:tcBorders>
          </w:tcPr>
          <w:p w:rsidR="005B415B" w:rsidRPr="00D50E91" w:rsidRDefault="005B415B" w:rsidP="00B11587">
            <w:pPr>
              <w:jc w:val="center"/>
              <w:rPr>
                <w:sz w:val="20"/>
                <w:szCs w:val="20"/>
              </w:rPr>
            </w:pPr>
            <w:r w:rsidRPr="00D50E91">
              <w:rPr>
                <w:sz w:val="20"/>
                <w:szCs w:val="20"/>
              </w:rPr>
              <w:t xml:space="preserve">180 </w:t>
            </w:r>
          </w:p>
          <w:p w:rsidR="005B415B" w:rsidRPr="00D50E91" w:rsidRDefault="005B415B" w:rsidP="00B11587">
            <w:pPr>
              <w:jc w:val="center"/>
              <w:rPr>
                <w:sz w:val="20"/>
                <w:szCs w:val="20"/>
              </w:rPr>
            </w:pPr>
            <w:r w:rsidRPr="00D50E91">
              <w:rPr>
                <w:sz w:val="20"/>
                <w:szCs w:val="20"/>
              </w:rPr>
              <w:t>A1</w:t>
            </w:r>
          </w:p>
        </w:tc>
        <w:tc>
          <w:tcPr>
            <w:tcW w:w="1995" w:type="dxa"/>
            <w:gridSpan w:val="3"/>
            <w:tcBorders>
              <w:top w:val="single" w:sz="4" w:space="0" w:color="auto"/>
              <w:bottom w:val="single" w:sz="4" w:space="0" w:color="auto"/>
              <w:right w:val="single" w:sz="4" w:space="0" w:color="auto"/>
            </w:tcBorders>
            <w:shd w:val="clear" w:color="auto" w:fill="BFBFBF"/>
          </w:tcPr>
          <w:p w:rsidR="005B415B" w:rsidRPr="00D50E91" w:rsidRDefault="005B415B" w:rsidP="00B11587">
            <w:pPr>
              <w:jc w:val="center"/>
              <w:rPr>
                <w:sz w:val="20"/>
                <w:szCs w:val="20"/>
              </w:rPr>
            </w:pPr>
            <w:r w:rsidRPr="00D50E91">
              <w:rPr>
                <w:sz w:val="20"/>
                <w:szCs w:val="20"/>
              </w:rPr>
              <w:t xml:space="preserve">180 </w:t>
            </w:r>
          </w:p>
          <w:p w:rsidR="005B415B" w:rsidRPr="00D50E91" w:rsidRDefault="005B415B" w:rsidP="00B11587">
            <w:pPr>
              <w:jc w:val="center"/>
              <w:rPr>
                <w:sz w:val="20"/>
                <w:szCs w:val="20"/>
              </w:rPr>
            </w:pPr>
            <w:r w:rsidRPr="00D50E91">
              <w:rPr>
                <w:sz w:val="20"/>
                <w:szCs w:val="20"/>
              </w:rPr>
              <w:t>A1</w:t>
            </w:r>
          </w:p>
        </w:tc>
      </w:tr>
      <w:tr w:rsidR="005B415B" w:rsidRPr="00D50E91" w:rsidTr="00B11587">
        <w:tc>
          <w:tcPr>
            <w:tcW w:w="400" w:type="dxa"/>
            <w:tcBorders>
              <w:top w:val="single" w:sz="4" w:space="0" w:color="auto"/>
              <w:left w:val="single" w:sz="4" w:space="0" w:color="auto"/>
              <w:bottom w:val="single" w:sz="4" w:space="0" w:color="auto"/>
              <w:right w:val="single" w:sz="4" w:space="0" w:color="auto"/>
            </w:tcBorders>
          </w:tcPr>
          <w:p w:rsidR="005B415B" w:rsidRPr="00D50E91" w:rsidRDefault="003D757E" w:rsidP="00B11587">
            <w:pPr>
              <w:autoSpaceDE w:val="0"/>
              <w:autoSpaceDN w:val="0"/>
              <w:adjustRightInd w:val="0"/>
              <w:ind w:left="56" w:right="56"/>
              <w:jc w:val="center"/>
              <w:rPr>
                <w:sz w:val="20"/>
                <w:szCs w:val="20"/>
              </w:rPr>
            </w:pPr>
            <w:r w:rsidRPr="00D50E91">
              <w:rPr>
                <w:sz w:val="20"/>
                <w:szCs w:val="20"/>
              </w:rPr>
              <w:t xml:space="preserve"> </w:t>
            </w:r>
            <w:r w:rsidR="005B415B" w:rsidRPr="00D50E91">
              <w:rPr>
                <w:sz w:val="20"/>
                <w:szCs w:val="20"/>
              </w:rPr>
              <w:t>11</w:t>
            </w:r>
          </w:p>
        </w:tc>
        <w:tc>
          <w:tcPr>
            <w:tcW w:w="5880" w:type="dxa"/>
            <w:gridSpan w:val="2"/>
            <w:tcBorders>
              <w:top w:val="single" w:sz="4" w:space="0" w:color="auto"/>
              <w:left w:val="single" w:sz="4" w:space="0" w:color="auto"/>
              <w:bottom w:val="single" w:sz="4" w:space="0" w:color="auto"/>
              <w:right w:val="single" w:sz="4" w:space="0" w:color="auto"/>
            </w:tcBorders>
            <w:vAlign w:val="center"/>
          </w:tcPr>
          <w:p w:rsidR="005B415B" w:rsidRPr="00D50E91" w:rsidRDefault="003D757E" w:rsidP="00B11587">
            <w:pPr>
              <w:rPr>
                <w:sz w:val="20"/>
                <w:szCs w:val="20"/>
              </w:rPr>
            </w:pPr>
            <w:r w:rsidRPr="00D50E91">
              <w:rPr>
                <w:sz w:val="20"/>
                <w:szCs w:val="20"/>
              </w:rPr>
              <w:t xml:space="preserve"> T</w:t>
            </w:r>
            <w:r w:rsidR="005B415B" w:rsidRPr="00D50E91">
              <w:rPr>
                <w:sz w:val="20"/>
                <w:szCs w:val="20"/>
              </w:rPr>
              <w:t>űzgátló fal és födém</w:t>
            </w:r>
          </w:p>
          <w:p w:rsidR="005B415B" w:rsidRPr="00D50E91" w:rsidRDefault="005B415B" w:rsidP="00B11587">
            <w:pPr>
              <w:numPr>
                <w:ilvl w:val="0"/>
                <w:numId w:val="13"/>
              </w:numPr>
              <w:autoSpaceDE w:val="0"/>
              <w:autoSpaceDN w:val="0"/>
              <w:adjustRightInd w:val="0"/>
              <w:ind w:right="56"/>
              <w:jc w:val="both"/>
              <w:rPr>
                <w:sz w:val="20"/>
                <w:szCs w:val="20"/>
              </w:rPr>
            </w:pPr>
            <w:r w:rsidRPr="00D50E91">
              <w:rPr>
                <w:sz w:val="20"/>
                <w:szCs w:val="20"/>
              </w:rPr>
              <w:t>EI helyett EW kritérium alkalmazható a legalább B tűzvédelmi osztályú tűzgátló fal esetében, a közlekedésre, menekülésre szolgáló padlófelülettől mért 2,10 m feletti sávban</w:t>
            </w:r>
          </w:p>
          <w:p w:rsidR="005B415B" w:rsidRPr="00D50E91" w:rsidRDefault="005B415B" w:rsidP="00B11587">
            <w:pPr>
              <w:numPr>
                <w:ilvl w:val="0"/>
                <w:numId w:val="13"/>
              </w:numPr>
              <w:autoSpaceDE w:val="0"/>
              <w:autoSpaceDN w:val="0"/>
              <w:adjustRightInd w:val="0"/>
              <w:ind w:right="56"/>
              <w:rPr>
                <w:sz w:val="20"/>
                <w:szCs w:val="20"/>
              </w:rPr>
            </w:pPr>
            <w:r w:rsidRPr="00D50E91">
              <w:rPr>
                <w:sz w:val="20"/>
                <w:szCs w:val="20"/>
              </w:rPr>
              <w:t>EI helyett EW kritérium alkalmazható tűzterjedés ellen védett külső térelhatároló falban, ha a tűz átterjedésének veszélyét nem növeli</w:t>
            </w:r>
          </w:p>
        </w:tc>
        <w:tc>
          <w:tcPr>
            <w:tcW w:w="904" w:type="dxa"/>
            <w:tcBorders>
              <w:top w:val="single" w:sz="4" w:space="0" w:color="auto"/>
              <w:left w:val="single" w:sz="4" w:space="0" w:color="auto"/>
              <w:bottom w:val="single" w:sz="4" w:space="0" w:color="auto"/>
              <w:right w:val="single" w:sz="4" w:space="0" w:color="auto"/>
            </w:tcBorders>
            <w:vAlign w:val="center"/>
          </w:tcPr>
          <w:p w:rsidR="005B415B" w:rsidRPr="00D50E91" w:rsidRDefault="005B415B" w:rsidP="00B11587">
            <w:pPr>
              <w:autoSpaceDE w:val="0"/>
              <w:autoSpaceDN w:val="0"/>
              <w:adjustRightInd w:val="0"/>
              <w:ind w:right="56"/>
              <w:jc w:val="center"/>
              <w:rPr>
                <w:sz w:val="20"/>
                <w:szCs w:val="20"/>
              </w:rPr>
            </w:pPr>
            <w:r w:rsidRPr="00D50E91">
              <w:rPr>
                <w:sz w:val="20"/>
                <w:szCs w:val="20"/>
              </w:rPr>
              <w:t>EI (EW)</w:t>
            </w:r>
          </w:p>
        </w:tc>
        <w:tc>
          <w:tcPr>
            <w:tcW w:w="1330" w:type="dxa"/>
            <w:gridSpan w:val="2"/>
            <w:tcBorders>
              <w:top w:val="single" w:sz="4" w:space="0" w:color="auto"/>
              <w:bottom w:val="single" w:sz="4" w:space="0" w:color="auto"/>
              <w:right w:val="single" w:sz="4" w:space="0" w:color="auto"/>
            </w:tcBorders>
          </w:tcPr>
          <w:p w:rsidR="005B415B" w:rsidRPr="00D50E91" w:rsidRDefault="005B415B" w:rsidP="00B11587">
            <w:pPr>
              <w:jc w:val="center"/>
              <w:rPr>
                <w:sz w:val="20"/>
                <w:szCs w:val="20"/>
              </w:rPr>
            </w:pPr>
            <w:r w:rsidRPr="00D50E91">
              <w:rPr>
                <w:sz w:val="20"/>
                <w:szCs w:val="20"/>
              </w:rPr>
              <w:t>30</w:t>
            </w:r>
          </w:p>
          <w:p w:rsidR="005B415B" w:rsidRPr="00D50E91" w:rsidDel="004C37E9" w:rsidRDefault="005B415B" w:rsidP="00B11587">
            <w:pPr>
              <w:jc w:val="center"/>
              <w:rPr>
                <w:sz w:val="20"/>
                <w:szCs w:val="20"/>
              </w:rPr>
            </w:pPr>
            <w:r w:rsidRPr="00D50E91">
              <w:rPr>
                <w:sz w:val="20"/>
                <w:szCs w:val="20"/>
              </w:rPr>
              <w:t>A2</w:t>
            </w:r>
          </w:p>
        </w:tc>
        <w:tc>
          <w:tcPr>
            <w:tcW w:w="665" w:type="dxa"/>
            <w:tcBorders>
              <w:top w:val="single" w:sz="4" w:space="0" w:color="auto"/>
              <w:bottom w:val="single" w:sz="4" w:space="0" w:color="auto"/>
              <w:right w:val="single" w:sz="4" w:space="0" w:color="auto"/>
            </w:tcBorders>
          </w:tcPr>
          <w:p w:rsidR="005B415B" w:rsidRPr="00D50E91" w:rsidRDefault="005B415B" w:rsidP="00B11587">
            <w:pPr>
              <w:jc w:val="center"/>
              <w:rPr>
                <w:sz w:val="20"/>
                <w:szCs w:val="20"/>
              </w:rPr>
            </w:pPr>
            <w:r w:rsidRPr="00D50E91">
              <w:rPr>
                <w:sz w:val="20"/>
                <w:szCs w:val="20"/>
              </w:rPr>
              <w:t>60</w:t>
            </w:r>
          </w:p>
          <w:p w:rsidR="005B415B" w:rsidRPr="00D50E91" w:rsidDel="004C37E9" w:rsidRDefault="005B415B" w:rsidP="00B11587">
            <w:pPr>
              <w:jc w:val="center"/>
              <w:rPr>
                <w:sz w:val="20"/>
                <w:szCs w:val="20"/>
              </w:rPr>
            </w:pPr>
            <w:r w:rsidRPr="00D50E91">
              <w:rPr>
                <w:sz w:val="20"/>
                <w:szCs w:val="20"/>
              </w:rPr>
              <w:t>A2</w:t>
            </w:r>
          </w:p>
        </w:tc>
        <w:tc>
          <w:tcPr>
            <w:tcW w:w="665" w:type="dxa"/>
            <w:tcBorders>
              <w:top w:val="single" w:sz="4" w:space="0" w:color="auto"/>
              <w:bottom w:val="single" w:sz="4" w:space="0" w:color="auto"/>
              <w:right w:val="single" w:sz="4" w:space="0" w:color="auto"/>
            </w:tcBorders>
            <w:shd w:val="clear" w:color="auto" w:fill="BFBFBF"/>
          </w:tcPr>
          <w:p w:rsidR="005B415B" w:rsidRPr="00D50E91" w:rsidRDefault="005B415B" w:rsidP="00B11587">
            <w:pPr>
              <w:autoSpaceDE w:val="0"/>
              <w:autoSpaceDN w:val="0"/>
              <w:adjustRightInd w:val="0"/>
              <w:ind w:right="56"/>
              <w:jc w:val="center"/>
              <w:rPr>
                <w:sz w:val="20"/>
                <w:szCs w:val="20"/>
              </w:rPr>
            </w:pPr>
            <w:r w:rsidRPr="00D50E91">
              <w:rPr>
                <w:sz w:val="20"/>
                <w:szCs w:val="20"/>
              </w:rPr>
              <w:t>30</w:t>
            </w:r>
          </w:p>
          <w:p w:rsidR="005B415B" w:rsidRPr="00D50E91" w:rsidRDefault="005B415B" w:rsidP="00B11587">
            <w:pPr>
              <w:autoSpaceDE w:val="0"/>
              <w:autoSpaceDN w:val="0"/>
              <w:adjustRightInd w:val="0"/>
              <w:ind w:right="56"/>
              <w:jc w:val="center"/>
              <w:rPr>
                <w:sz w:val="20"/>
                <w:szCs w:val="20"/>
              </w:rPr>
            </w:pPr>
            <w:r w:rsidRPr="00D50E91">
              <w:rPr>
                <w:sz w:val="20"/>
                <w:szCs w:val="20"/>
              </w:rPr>
              <w:t>A2</w:t>
            </w:r>
          </w:p>
        </w:tc>
        <w:tc>
          <w:tcPr>
            <w:tcW w:w="729" w:type="dxa"/>
            <w:gridSpan w:val="3"/>
            <w:tcBorders>
              <w:top w:val="single" w:sz="4" w:space="0" w:color="auto"/>
              <w:bottom w:val="single" w:sz="4" w:space="0" w:color="auto"/>
              <w:right w:val="single" w:sz="4" w:space="0" w:color="auto"/>
            </w:tcBorders>
            <w:shd w:val="clear" w:color="auto" w:fill="BFBFBF"/>
          </w:tcPr>
          <w:p w:rsidR="005B415B" w:rsidRPr="00D50E91" w:rsidRDefault="005B415B" w:rsidP="00B11587">
            <w:pPr>
              <w:autoSpaceDE w:val="0"/>
              <w:autoSpaceDN w:val="0"/>
              <w:adjustRightInd w:val="0"/>
              <w:ind w:right="56"/>
              <w:jc w:val="center"/>
              <w:rPr>
                <w:sz w:val="20"/>
                <w:szCs w:val="20"/>
              </w:rPr>
            </w:pPr>
            <w:r w:rsidRPr="00D50E91">
              <w:rPr>
                <w:sz w:val="20"/>
                <w:szCs w:val="20"/>
              </w:rPr>
              <w:t>30</w:t>
            </w:r>
          </w:p>
          <w:p w:rsidR="005B415B" w:rsidRPr="00D50E91" w:rsidRDefault="005B415B" w:rsidP="00B11587">
            <w:pPr>
              <w:jc w:val="center"/>
              <w:rPr>
                <w:sz w:val="20"/>
                <w:szCs w:val="20"/>
              </w:rPr>
            </w:pPr>
            <w:r w:rsidRPr="00D50E91">
              <w:rPr>
                <w:sz w:val="20"/>
                <w:szCs w:val="20"/>
              </w:rPr>
              <w:t>A2</w:t>
            </w:r>
          </w:p>
        </w:tc>
        <w:tc>
          <w:tcPr>
            <w:tcW w:w="817" w:type="dxa"/>
            <w:tcBorders>
              <w:top w:val="single" w:sz="4" w:space="0" w:color="auto"/>
              <w:bottom w:val="single" w:sz="4" w:space="0" w:color="auto"/>
              <w:right w:val="single" w:sz="4" w:space="0" w:color="auto"/>
            </w:tcBorders>
            <w:shd w:val="clear" w:color="auto" w:fill="BFBFBF"/>
          </w:tcPr>
          <w:p w:rsidR="005B415B" w:rsidRPr="00D50E91" w:rsidRDefault="005B415B" w:rsidP="00B11587">
            <w:pPr>
              <w:jc w:val="center"/>
              <w:rPr>
                <w:sz w:val="20"/>
                <w:szCs w:val="20"/>
              </w:rPr>
            </w:pPr>
            <w:r w:rsidRPr="00D50E91">
              <w:rPr>
                <w:sz w:val="20"/>
                <w:szCs w:val="20"/>
              </w:rPr>
              <w:t>60</w:t>
            </w:r>
          </w:p>
          <w:p w:rsidR="005B415B" w:rsidRPr="00D50E91" w:rsidRDefault="005B415B" w:rsidP="00B11587">
            <w:pPr>
              <w:jc w:val="center"/>
              <w:rPr>
                <w:sz w:val="20"/>
                <w:szCs w:val="20"/>
              </w:rPr>
            </w:pPr>
            <w:r w:rsidRPr="00D50E91">
              <w:rPr>
                <w:sz w:val="20"/>
                <w:szCs w:val="20"/>
              </w:rPr>
              <w:t>A2</w:t>
            </w:r>
          </w:p>
        </w:tc>
        <w:tc>
          <w:tcPr>
            <w:tcW w:w="665" w:type="dxa"/>
            <w:tcBorders>
              <w:top w:val="single" w:sz="4" w:space="0" w:color="auto"/>
              <w:bottom w:val="single" w:sz="4" w:space="0" w:color="auto"/>
              <w:right w:val="single" w:sz="4" w:space="0" w:color="auto"/>
            </w:tcBorders>
          </w:tcPr>
          <w:p w:rsidR="005B415B" w:rsidRPr="00D50E91" w:rsidRDefault="005B415B" w:rsidP="00B11587">
            <w:pPr>
              <w:jc w:val="center"/>
              <w:rPr>
                <w:sz w:val="20"/>
                <w:szCs w:val="20"/>
              </w:rPr>
            </w:pPr>
            <w:r w:rsidRPr="00D50E91">
              <w:rPr>
                <w:sz w:val="20"/>
                <w:szCs w:val="20"/>
              </w:rPr>
              <w:t>30</w:t>
            </w:r>
          </w:p>
          <w:p w:rsidR="005B415B" w:rsidRPr="00D50E91" w:rsidRDefault="005B415B" w:rsidP="00B11587">
            <w:pPr>
              <w:jc w:val="center"/>
              <w:rPr>
                <w:sz w:val="20"/>
                <w:szCs w:val="20"/>
              </w:rPr>
            </w:pPr>
            <w:r w:rsidRPr="00D50E91">
              <w:rPr>
                <w:sz w:val="20"/>
                <w:szCs w:val="20"/>
              </w:rPr>
              <w:t>A2</w:t>
            </w:r>
          </w:p>
        </w:tc>
        <w:tc>
          <w:tcPr>
            <w:tcW w:w="666" w:type="dxa"/>
            <w:tcBorders>
              <w:top w:val="single" w:sz="4" w:space="0" w:color="auto"/>
              <w:bottom w:val="single" w:sz="4" w:space="0" w:color="auto"/>
              <w:right w:val="single" w:sz="4" w:space="0" w:color="auto"/>
            </w:tcBorders>
          </w:tcPr>
          <w:p w:rsidR="005B415B" w:rsidRPr="00D50E91" w:rsidRDefault="005B415B" w:rsidP="00B11587">
            <w:pPr>
              <w:jc w:val="center"/>
              <w:rPr>
                <w:sz w:val="20"/>
                <w:szCs w:val="20"/>
              </w:rPr>
            </w:pPr>
            <w:r w:rsidRPr="00D50E91">
              <w:rPr>
                <w:sz w:val="20"/>
                <w:szCs w:val="20"/>
              </w:rPr>
              <w:t>60</w:t>
            </w:r>
          </w:p>
          <w:p w:rsidR="005B415B" w:rsidRPr="00D50E91" w:rsidRDefault="005B415B" w:rsidP="00B11587">
            <w:pPr>
              <w:jc w:val="center"/>
              <w:rPr>
                <w:sz w:val="20"/>
                <w:szCs w:val="20"/>
              </w:rPr>
            </w:pPr>
            <w:r w:rsidRPr="00D50E91">
              <w:rPr>
                <w:sz w:val="20"/>
                <w:szCs w:val="20"/>
              </w:rPr>
              <w:t>A2</w:t>
            </w:r>
          </w:p>
        </w:tc>
        <w:tc>
          <w:tcPr>
            <w:tcW w:w="665" w:type="dxa"/>
            <w:tcBorders>
              <w:top w:val="single" w:sz="4" w:space="0" w:color="auto"/>
              <w:bottom w:val="single" w:sz="4" w:space="0" w:color="auto"/>
              <w:right w:val="single" w:sz="4" w:space="0" w:color="auto"/>
            </w:tcBorders>
          </w:tcPr>
          <w:p w:rsidR="005B415B" w:rsidRPr="00D50E91" w:rsidRDefault="005B415B" w:rsidP="00B11587">
            <w:pPr>
              <w:jc w:val="center"/>
              <w:rPr>
                <w:sz w:val="20"/>
                <w:szCs w:val="20"/>
              </w:rPr>
            </w:pPr>
            <w:r w:rsidRPr="00D50E91">
              <w:rPr>
                <w:sz w:val="20"/>
                <w:szCs w:val="20"/>
              </w:rPr>
              <w:t>90</w:t>
            </w:r>
          </w:p>
          <w:p w:rsidR="005B415B" w:rsidRPr="00D50E91" w:rsidRDefault="005B415B" w:rsidP="00B11587">
            <w:pPr>
              <w:jc w:val="center"/>
              <w:rPr>
                <w:sz w:val="20"/>
                <w:szCs w:val="20"/>
              </w:rPr>
            </w:pPr>
            <w:r w:rsidRPr="00D50E91">
              <w:rPr>
                <w:sz w:val="20"/>
                <w:szCs w:val="20"/>
              </w:rPr>
              <w:t>A2</w:t>
            </w:r>
          </w:p>
        </w:tc>
        <w:tc>
          <w:tcPr>
            <w:tcW w:w="665" w:type="dxa"/>
            <w:tcBorders>
              <w:top w:val="single" w:sz="4" w:space="0" w:color="auto"/>
              <w:bottom w:val="single" w:sz="4" w:space="0" w:color="auto"/>
              <w:right w:val="single" w:sz="4" w:space="0" w:color="auto"/>
            </w:tcBorders>
            <w:shd w:val="clear" w:color="auto" w:fill="BFBFBF"/>
          </w:tcPr>
          <w:p w:rsidR="005B415B" w:rsidRPr="00D50E91" w:rsidRDefault="005B415B" w:rsidP="00B11587">
            <w:pPr>
              <w:jc w:val="center"/>
              <w:rPr>
                <w:sz w:val="20"/>
                <w:szCs w:val="20"/>
              </w:rPr>
            </w:pPr>
            <w:r w:rsidRPr="00D50E91">
              <w:rPr>
                <w:sz w:val="20"/>
                <w:szCs w:val="20"/>
              </w:rPr>
              <w:t>60</w:t>
            </w:r>
          </w:p>
          <w:p w:rsidR="005B415B" w:rsidRPr="00D50E91" w:rsidRDefault="005B415B" w:rsidP="00B11587">
            <w:pPr>
              <w:jc w:val="center"/>
              <w:rPr>
                <w:sz w:val="20"/>
                <w:szCs w:val="20"/>
              </w:rPr>
            </w:pPr>
            <w:r w:rsidRPr="00D50E91">
              <w:rPr>
                <w:sz w:val="20"/>
                <w:szCs w:val="20"/>
              </w:rPr>
              <w:t>A2</w:t>
            </w:r>
          </w:p>
        </w:tc>
        <w:tc>
          <w:tcPr>
            <w:tcW w:w="665" w:type="dxa"/>
            <w:tcBorders>
              <w:top w:val="single" w:sz="4" w:space="0" w:color="auto"/>
              <w:bottom w:val="single" w:sz="4" w:space="0" w:color="auto"/>
              <w:right w:val="single" w:sz="4" w:space="0" w:color="auto"/>
            </w:tcBorders>
            <w:shd w:val="clear" w:color="auto" w:fill="BFBFBF"/>
          </w:tcPr>
          <w:p w:rsidR="005B415B" w:rsidRPr="00D50E91" w:rsidRDefault="005B415B" w:rsidP="00B11587">
            <w:pPr>
              <w:jc w:val="center"/>
              <w:rPr>
                <w:sz w:val="20"/>
                <w:szCs w:val="20"/>
              </w:rPr>
            </w:pPr>
            <w:r w:rsidRPr="00D50E91">
              <w:rPr>
                <w:sz w:val="20"/>
                <w:szCs w:val="20"/>
              </w:rPr>
              <w:t>90</w:t>
            </w:r>
          </w:p>
          <w:p w:rsidR="005B415B" w:rsidRPr="00D50E91" w:rsidRDefault="005B415B" w:rsidP="00B11587">
            <w:pPr>
              <w:jc w:val="center"/>
              <w:rPr>
                <w:sz w:val="20"/>
                <w:szCs w:val="20"/>
              </w:rPr>
            </w:pPr>
            <w:r w:rsidRPr="00D50E91">
              <w:rPr>
                <w:sz w:val="20"/>
                <w:szCs w:val="20"/>
              </w:rPr>
              <w:t>A2</w:t>
            </w:r>
          </w:p>
        </w:tc>
        <w:tc>
          <w:tcPr>
            <w:tcW w:w="665" w:type="dxa"/>
            <w:tcBorders>
              <w:top w:val="single" w:sz="4" w:space="0" w:color="auto"/>
              <w:bottom w:val="single" w:sz="4" w:space="0" w:color="auto"/>
              <w:right w:val="single" w:sz="4" w:space="0" w:color="auto"/>
            </w:tcBorders>
            <w:shd w:val="clear" w:color="auto" w:fill="BFBFBF"/>
          </w:tcPr>
          <w:p w:rsidR="005B415B" w:rsidRPr="00D50E91" w:rsidRDefault="005B415B" w:rsidP="00B11587">
            <w:pPr>
              <w:jc w:val="center"/>
              <w:rPr>
                <w:sz w:val="20"/>
                <w:szCs w:val="20"/>
              </w:rPr>
            </w:pPr>
            <w:r w:rsidRPr="00D50E91">
              <w:rPr>
                <w:sz w:val="20"/>
                <w:szCs w:val="20"/>
              </w:rPr>
              <w:t>120</w:t>
            </w:r>
          </w:p>
          <w:p w:rsidR="005B415B" w:rsidRPr="00D50E91" w:rsidRDefault="005B415B" w:rsidP="00B11587">
            <w:pPr>
              <w:jc w:val="center"/>
              <w:rPr>
                <w:sz w:val="20"/>
                <w:szCs w:val="20"/>
              </w:rPr>
            </w:pPr>
            <w:r w:rsidRPr="00D50E91">
              <w:rPr>
                <w:sz w:val="20"/>
                <w:szCs w:val="20"/>
              </w:rPr>
              <w:t>A2</w:t>
            </w:r>
          </w:p>
        </w:tc>
      </w:tr>
      <w:tr w:rsidR="005B415B" w:rsidRPr="00D50E91" w:rsidTr="00B11587">
        <w:tc>
          <w:tcPr>
            <w:tcW w:w="400" w:type="dxa"/>
            <w:tcBorders>
              <w:top w:val="single" w:sz="4" w:space="0" w:color="auto"/>
              <w:left w:val="single" w:sz="4" w:space="0" w:color="auto"/>
              <w:bottom w:val="single" w:sz="4" w:space="0" w:color="auto"/>
              <w:right w:val="single" w:sz="4" w:space="0" w:color="auto"/>
            </w:tcBorders>
          </w:tcPr>
          <w:p w:rsidR="005B415B" w:rsidRPr="00D50E91" w:rsidRDefault="003D757E" w:rsidP="00B11587">
            <w:pPr>
              <w:autoSpaceDE w:val="0"/>
              <w:autoSpaceDN w:val="0"/>
              <w:adjustRightInd w:val="0"/>
              <w:ind w:left="56" w:right="56"/>
              <w:jc w:val="center"/>
              <w:rPr>
                <w:sz w:val="20"/>
                <w:szCs w:val="20"/>
              </w:rPr>
            </w:pPr>
            <w:r w:rsidRPr="00D50E91">
              <w:rPr>
                <w:sz w:val="20"/>
                <w:szCs w:val="20"/>
              </w:rPr>
              <w:t xml:space="preserve"> </w:t>
            </w:r>
            <w:r w:rsidR="005B415B" w:rsidRPr="00D50E91">
              <w:rPr>
                <w:sz w:val="20"/>
                <w:szCs w:val="20"/>
              </w:rPr>
              <w:t>12</w:t>
            </w:r>
          </w:p>
        </w:tc>
        <w:tc>
          <w:tcPr>
            <w:tcW w:w="5880" w:type="dxa"/>
            <w:gridSpan w:val="2"/>
            <w:tcBorders>
              <w:top w:val="single" w:sz="4" w:space="0" w:color="auto"/>
              <w:left w:val="single" w:sz="4" w:space="0" w:color="auto"/>
              <w:bottom w:val="single" w:sz="4" w:space="0" w:color="auto"/>
              <w:right w:val="single" w:sz="4" w:space="0" w:color="auto"/>
            </w:tcBorders>
            <w:vAlign w:val="center"/>
          </w:tcPr>
          <w:p w:rsidR="005B415B" w:rsidRPr="00D50E91" w:rsidRDefault="003D757E" w:rsidP="00B11587">
            <w:pPr>
              <w:rPr>
                <w:sz w:val="20"/>
                <w:szCs w:val="20"/>
              </w:rPr>
            </w:pPr>
            <w:r w:rsidRPr="00D50E91">
              <w:rPr>
                <w:sz w:val="20"/>
                <w:szCs w:val="20"/>
              </w:rPr>
              <w:t xml:space="preserve"> T</w:t>
            </w:r>
            <w:r w:rsidR="005B415B" w:rsidRPr="00D50E91">
              <w:rPr>
                <w:sz w:val="20"/>
                <w:szCs w:val="20"/>
              </w:rPr>
              <w:t>űzterjedés elleni gát</w:t>
            </w:r>
          </w:p>
        </w:tc>
        <w:tc>
          <w:tcPr>
            <w:tcW w:w="904" w:type="dxa"/>
            <w:tcBorders>
              <w:top w:val="single" w:sz="4" w:space="0" w:color="auto"/>
              <w:left w:val="single" w:sz="4" w:space="0" w:color="auto"/>
              <w:bottom w:val="single" w:sz="4" w:space="0" w:color="auto"/>
              <w:right w:val="single" w:sz="4" w:space="0" w:color="auto"/>
            </w:tcBorders>
            <w:vAlign w:val="center"/>
          </w:tcPr>
          <w:p w:rsidR="005B415B" w:rsidRPr="00D50E91" w:rsidRDefault="005B415B" w:rsidP="00B11587">
            <w:pPr>
              <w:autoSpaceDE w:val="0"/>
              <w:autoSpaceDN w:val="0"/>
              <w:adjustRightInd w:val="0"/>
              <w:ind w:right="56"/>
              <w:jc w:val="center"/>
              <w:rPr>
                <w:sz w:val="20"/>
                <w:szCs w:val="20"/>
              </w:rPr>
            </w:pPr>
          </w:p>
        </w:tc>
        <w:tc>
          <w:tcPr>
            <w:tcW w:w="8197" w:type="dxa"/>
            <w:gridSpan w:val="14"/>
            <w:tcBorders>
              <w:top w:val="single" w:sz="4" w:space="0" w:color="auto"/>
              <w:bottom w:val="single" w:sz="4" w:space="0" w:color="auto"/>
              <w:right w:val="single" w:sz="4" w:space="0" w:color="auto"/>
            </w:tcBorders>
          </w:tcPr>
          <w:p w:rsidR="005B415B" w:rsidRPr="00D50E91" w:rsidRDefault="005B415B" w:rsidP="00B11587">
            <w:pPr>
              <w:jc w:val="center"/>
              <w:rPr>
                <w:sz w:val="16"/>
                <w:szCs w:val="16"/>
              </w:rPr>
            </w:pPr>
            <w:r w:rsidRPr="00D50E91">
              <w:rPr>
                <w:sz w:val="16"/>
                <w:szCs w:val="16"/>
              </w:rPr>
              <w:t xml:space="preserve">a csatlakozó födémre, falra előírt követelménnyel legalább megegyező tűzállósági teljesítményű, </w:t>
            </w:r>
          </w:p>
          <w:p w:rsidR="005B415B" w:rsidRPr="00D50E91" w:rsidRDefault="005B415B" w:rsidP="00B11587">
            <w:pPr>
              <w:jc w:val="center"/>
              <w:rPr>
                <w:sz w:val="16"/>
                <w:szCs w:val="16"/>
              </w:rPr>
            </w:pPr>
            <w:r w:rsidRPr="00D50E91">
              <w:rPr>
                <w:sz w:val="16"/>
                <w:szCs w:val="16"/>
              </w:rPr>
              <w:t>de legfeljebb 90</w:t>
            </w:r>
          </w:p>
          <w:p w:rsidR="005B415B" w:rsidRPr="00D50E91" w:rsidRDefault="005B415B" w:rsidP="00B11587">
            <w:pPr>
              <w:jc w:val="center"/>
              <w:rPr>
                <w:sz w:val="20"/>
                <w:szCs w:val="20"/>
              </w:rPr>
            </w:pPr>
            <w:r w:rsidRPr="00D50E91">
              <w:rPr>
                <w:sz w:val="16"/>
                <w:szCs w:val="16"/>
              </w:rPr>
              <w:t>A2</w:t>
            </w:r>
          </w:p>
        </w:tc>
      </w:tr>
      <w:tr w:rsidR="005B415B" w:rsidRPr="00D50E91" w:rsidTr="00B11587">
        <w:tc>
          <w:tcPr>
            <w:tcW w:w="400" w:type="dxa"/>
            <w:tcBorders>
              <w:top w:val="single" w:sz="4" w:space="0" w:color="auto"/>
              <w:left w:val="single" w:sz="4" w:space="0" w:color="auto"/>
              <w:bottom w:val="single" w:sz="4" w:space="0" w:color="auto"/>
              <w:right w:val="single" w:sz="4" w:space="0" w:color="auto"/>
            </w:tcBorders>
          </w:tcPr>
          <w:p w:rsidR="005B415B" w:rsidRPr="00D50E91" w:rsidRDefault="003D757E" w:rsidP="00B11587">
            <w:pPr>
              <w:autoSpaceDE w:val="0"/>
              <w:autoSpaceDN w:val="0"/>
              <w:adjustRightInd w:val="0"/>
              <w:ind w:left="56" w:right="56"/>
              <w:jc w:val="center"/>
              <w:rPr>
                <w:sz w:val="20"/>
                <w:szCs w:val="20"/>
              </w:rPr>
            </w:pPr>
            <w:r w:rsidRPr="00D50E91">
              <w:rPr>
                <w:sz w:val="20"/>
                <w:szCs w:val="20"/>
              </w:rPr>
              <w:t xml:space="preserve"> </w:t>
            </w:r>
            <w:r w:rsidR="005B415B" w:rsidRPr="00D50E91">
              <w:rPr>
                <w:sz w:val="20"/>
                <w:szCs w:val="20"/>
              </w:rPr>
              <w:t>13</w:t>
            </w:r>
          </w:p>
        </w:tc>
        <w:tc>
          <w:tcPr>
            <w:tcW w:w="5880" w:type="dxa"/>
            <w:gridSpan w:val="2"/>
            <w:tcBorders>
              <w:top w:val="single" w:sz="4" w:space="0" w:color="auto"/>
              <w:left w:val="single" w:sz="4" w:space="0" w:color="auto"/>
              <w:bottom w:val="single" w:sz="4" w:space="0" w:color="auto"/>
              <w:right w:val="single" w:sz="4" w:space="0" w:color="auto"/>
            </w:tcBorders>
            <w:vAlign w:val="center"/>
          </w:tcPr>
          <w:p w:rsidR="005B415B" w:rsidRPr="00D50E91" w:rsidRDefault="003D757E" w:rsidP="00B11587">
            <w:pPr>
              <w:rPr>
                <w:sz w:val="20"/>
                <w:szCs w:val="20"/>
              </w:rPr>
            </w:pPr>
            <w:r w:rsidRPr="00D50E91">
              <w:rPr>
                <w:sz w:val="20"/>
                <w:szCs w:val="20"/>
              </w:rPr>
              <w:t xml:space="preserve"> T</w:t>
            </w:r>
            <w:r w:rsidR="005B415B" w:rsidRPr="00D50E91">
              <w:rPr>
                <w:sz w:val="20"/>
                <w:szCs w:val="20"/>
              </w:rPr>
              <w:t>űzgátló válaszfal</w:t>
            </w:r>
          </w:p>
          <w:p w:rsidR="005B415B" w:rsidRPr="00D50E91" w:rsidRDefault="005B415B" w:rsidP="00B11587">
            <w:pPr>
              <w:numPr>
                <w:ilvl w:val="0"/>
                <w:numId w:val="13"/>
              </w:numPr>
              <w:autoSpaceDE w:val="0"/>
              <w:autoSpaceDN w:val="0"/>
              <w:adjustRightInd w:val="0"/>
              <w:ind w:right="56"/>
              <w:rPr>
                <w:sz w:val="20"/>
                <w:szCs w:val="20"/>
              </w:rPr>
            </w:pPr>
            <w:r w:rsidRPr="00D50E91">
              <w:rPr>
                <w:sz w:val="20"/>
                <w:szCs w:val="20"/>
              </w:rPr>
              <w:t>EI helyett EW kritérium alkalmazható a válaszfal a közlekedésre, menekülésre szolgáló padlófelülettől mért 2,10 m feletti sávjában</w:t>
            </w:r>
          </w:p>
        </w:tc>
        <w:tc>
          <w:tcPr>
            <w:tcW w:w="904" w:type="dxa"/>
            <w:tcBorders>
              <w:top w:val="single" w:sz="4" w:space="0" w:color="auto"/>
              <w:left w:val="single" w:sz="4" w:space="0" w:color="auto"/>
              <w:bottom w:val="single" w:sz="4" w:space="0" w:color="auto"/>
              <w:right w:val="single" w:sz="4" w:space="0" w:color="auto"/>
            </w:tcBorders>
            <w:vAlign w:val="center"/>
          </w:tcPr>
          <w:p w:rsidR="005B415B" w:rsidRPr="00D50E91" w:rsidRDefault="005B415B" w:rsidP="00B11587">
            <w:pPr>
              <w:autoSpaceDE w:val="0"/>
              <w:autoSpaceDN w:val="0"/>
              <w:adjustRightInd w:val="0"/>
              <w:ind w:right="56"/>
              <w:jc w:val="center"/>
              <w:rPr>
                <w:sz w:val="20"/>
                <w:szCs w:val="20"/>
              </w:rPr>
            </w:pPr>
            <w:r w:rsidRPr="00D50E91">
              <w:rPr>
                <w:sz w:val="20"/>
                <w:szCs w:val="20"/>
              </w:rPr>
              <w:t>EI (EW)</w:t>
            </w:r>
          </w:p>
        </w:tc>
        <w:tc>
          <w:tcPr>
            <w:tcW w:w="3389" w:type="dxa"/>
            <w:gridSpan w:val="7"/>
            <w:tcBorders>
              <w:top w:val="single" w:sz="4" w:space="0" w:color="auto"/>
              <w:bottom w:val="single" w:sz="4" w:space="0" w:color="auto"/>
              <w:right w:val="single" w:sz="4" w:space="0" w:color="auto"/>
            </w:tcBorders>
          </w:tcPr>
          <w:p w:rsidR="005B415B" w:rsidRPr="00D50E91" w:rsidRDefault="005B415B" w:rsidP="00B11587">
            <w:pPr>
              <w:jc w:val="center"/>
              <w:rPr>
                <w:sz w:val="20"/>
                <w:szCs w:val="20"/>
              </w:rPr>
            </w:pPr>
            <w:r w:rsidRPr="00D50E91">
              <w:rPr>
                <w:sz w:val="20"/>
                <w:szCs w:val="20"/>
              </w:rPr>
              <w:t xml:space="preserve">15 </w:t>
            </w:r>
          </w:p>
        </w:tc>
        <w:tc>
          <w:tcPr>
            <w:tcW w:w="4808" w:type="dxa"/>
            <w:gridSpan w:val="7"/>
            <w:tcBorders>
              <w:top w:val="single" w:sz="4" w:space="0" w:color="auto"/>
              <w:bottom w:val="single" w:sz="4" w:space="0" w:color="auto"/>
              <w:right w:val="single" w:sz="4" w:space="0" w:color="auto"/>
            </w:tcBorders>
          </w:tcPr>
          <w:p w:rsidR="005B415B" w:rsidRPr="00D50E91" w:rsidRDefault="005B415B" w:rsidP="00B11587">
            <w:pPr>
              <w:jc w:val="center"/>
              <w:rPr>
                <w:sz w:val="20"/>
                <w:szCs w:val="20"/>
              </w:rPr>
            </w:pPr>
            <w:r w:rsidRPr="00D50E91">
              <w:rPr>
                <w:sz w:val="20"/>
                <w:szCs w:val="20"/>
              </w:rPr>
              <w:t>30</w:t>
            </w:r>
          </w:p>
        </w:tc>
      </w:tr>
      <w:tr w:rsidR="005B415B" w:rsidRPr="00D50E91" w:rsidTr="00B11587">
        <w:tc>
          <w:tcPr>
            <w:tcW w:w="400" w:type="dxa"/>
            <w:tcBorders>
              <w:top w:val="single" w:sz="4" w:space="0" w:color="auto"/>
              <w:left w:val="single" w:sz="4" w:space="0" w:color="auto"/>
              <w:bottom w:val="single" w:sz="4" w:space="0" w:color="auto"/>
              <w:right w:val="single" w:sz="4" w:space="0" w:color="auto"/>
            </w:tcBorders>
          </w:tcPr>
          <w:p w:rsidR="005B415B" w:rsidRPr="00D50E91" w:rsidRDefault="003D757E" w:rsidP="00B11587">
            <w:pPr>
              <w:autoSpaceDE w:val="0"/>
              <w:autoSpaceDN w:val="0"/>
              <w:adjustRightInd w:val="0"/>
              <w:ind w:left="56" w:right="56"/>
              <w:jc w:val="center"/>
              <w:rPr>
                <w:sz w:val="20"/>
                <w:szCs w:val="20"/>
              </w:rPr>
            </w:pPr>
            <w:r w:rsidRPr="00D50E91">
              <w:rPr>
                <w:sz w:val="20"/>
                <w:szCs w:val="20"/>
              </w:rPr>
              <w:t xml:space="preserve"> </w:t>
            </w:r>
            <w:r w:rsidR="005B415B" w:rsidRPr="00D50E91">
              <w:rPr>
                <w:sz w:val="20"/>
                <w:szCs w:val="20"/>
              </w:rPr>
              <w:t>14</w:t>
            </w:r>
          </w:p>
        </w:tc>
        <w:tc>
          <w:tcPr>
            <w:tcW w:w="5880" w:type="dxa"/>
            <w:gridSpan w:val="2"/>
            <w:tcBorders>
              <w:top w:val="single" w:sz="4" w:space="0" w:color="auto"/>
              <w:left w:val="single" w:sz="4" w:space="0" w:color="auto"/>
              <w:bottom w:val="single" w:sz="4" w:space="0" w:color="auto"/>
              <w:right w:val="single" w:sz="4" w:space="0" w:color="auto"/>
            </w:tcBorders>
            <w:vAlign w:val="center"/>
          </w:tcPr>
          <w:p w:rsidR="005B415B" w:rsidRPr="00D50E91" w:rsidRDefault="003D757E" w:rsidP="00B11587">
            <w:pPr>
              <w:rPr>
                <w:sz w:val="20"/>
                <w:szCs w:val="20"/>
              </w:rPr>
            </w:pPr>
            <w:r w:rsidRPr="00D50E91">
              <w:rPr>
                <w:sz w:val="20"/>
                <w:szCs w:val="20"/>
              </w:rPr>
              <w:t xml:space="preserve"> T</w:t>
            </w:r>
            <w:r w:rsidR="005B415B" w:rsidRPr="00D50E91">
              <w:rPr>
                <w:sz w:val="20"/>
                <w:szCs w:val="20"/>
              </w:rPr>
              <w:t>űzgátló nyílászáró tűzfalban</w:t>
            </w:r>
          </w:p>
        </w:tc>
        <w:tc>
          <w:tcPr>
            <w:tcW w:w="904" w:type="dxa"/>
            <w:vMerge w:val="restart"/>
            <w:tcBorders>
              <w:top w:val="single" w:sz="4" w:space="0" w:color="auto"/>
              <w:left w:val="single" w:sz="4" w:space="0" w:color="auto"/>
              <w:right w:val="single" w:sz="4" w:space="0" w:color="auto"/>
            </w:tcBorders>
            <w:vAlign w:val="center"/>
          </w:tcPr>
          <w:p w:rsidR="005B415B" w:rsidRPr="00D50E91" w:rsidRDefault="005B415B" w:rsidP="00B11587">
            <w:pPr>
              <w:autoSpaceDE w:val="0"/>
              <w:autoSpaceDN w:val="0"/>
              <w:adjustRightInd w:val="0"/>
              <w:ind w:right="56"/>
              <w:jc w:val="center"/>
              <w:rPr>
                <w:sz w:val="16"/>
                <w:szCs w:val="16"/>
              </w:rPr>
            </w:pPr>
            <w:r w:rsidRPr="00D50E91">
              <w:rPr>
                <w:sz w:val="16"/>
                <w:szCs w:val="16"/>
              </w:rPr>
              <w:t>EI</w:t>
            </w:r>
            <w:r w:rsidRPr="00D50E91">
              <w:rPr>
                <w:sz w:val="16"/>
                <w:szCs w:val="16"/>
                <w:vertAlign w:val="subscript"/>
              </w:rPr>
              <w:t>2</w:t>
            </w:r>
            <w:r w:rsidRPr="00D50E91">
              <w:rPr>
                <w:sz w:val="16"/>
                <w:szCs w:val="16"/>
              </w:rPr>
              <w:t xml:space="preserve">   C</w:t>
            </w:r>
          </w:p>
          <w:p w:rsidR="005B415B" w:rsidRPr="00D50E91" w:rsidRDefault="005B415B" w:rsidP="00B11587">
            <w:pPr>
              <w:autoSpaceDE w:val="0"/>
              <w:autoSpaceDN w:val="0"/>
              <w:adjustRightInd w:val="0"/>
              <w:ind w:right="56"/>
              <w:jc w:val="center"/>
              <w:rPr>
                <w:sz w:val="20"/>
                <w:szCs w:val="20"/>
              </w:rPr>
            </w:pPr>
            <w:r w:rsidRPr="00D50E91">
              <w:rPr>
                <w:sz w:val="16"/>
                <w:szCs w:val="16"/>
              </w:rPr>
              <w:t>födémben: REI</w:t>
            </w:r>
            <w:r w:rsidRPr="00D50E91">
              <w:rPr>
                <w:sz w:val="16"/>
                <w:szCs w:val="16"/>
                <w:vertAlign w:val="subscript"/>
              </w:rPr>
              <w:t>2</w:t>
            </w:r>
            <w:r w:rsidRPr="00D50E91">
              <w:rPr>
                <w:sz w:val="16"/>
                <w:szCs w:val="16"/>
              </w:rPr>
              <w:t xml:space="preserve"> C</w:t>
            </w:r>
          </w:p>
        </w:tc>
        <w:tc>
          <w:tcPr>
            <w:tcW w:w="8197" w:type="dxa"/>
            <w:gridSpan w:val="14"/>
            <w:tcBorders>
              <w:top w:val="single" w:sz="4" w:space="0" w:color="auto"/>
              <w:bottom w:val="single" w:sz="4" w:space="0" w:color="auto"/>
              <w:right w:val="single" w:sz="4" w:space="0" w:color="auto"/>
            </w:tcBorders>
          </w:tcPr>
          <w:p w:rsidR="005B415B" w:rsidRPr="00D50E91" w:rsidRDefault="005B415B" w:rsidP="00B11587">
            <w:pPr>
              <w:jc w:val="center"/>
              <w:rPr>
                <w:sz w:val="20"/>
                <w:szCs w:val="20"/>
              </w:rPr>
            </w:pPr>
            <w:r w:rsidRPr="00D50E91">
              <w:rPr>
                <w:sz w:val="20"/>
                <w:szCs w:val="20"/>
              </w:rPr>
              <w:t>90</w:t>
            </w:r>
          </w:p>
        </w:tc>
      </w:tr>
      <w:tr w:rsidR="005B415B" w:rsidRPr="00D50E91" w:rsidTr="00B11587">
        <w:tc>
          <w:tcPr>
            <w:tcW w:w="400" w:type="dxa"/>
            <w:tcBorders>
              <w:top w:val="single" w:sz="4" w:space="0" w:color="auto"/>
              <w:left w:val="single" w:sz="4" w:space="0" w:color="auto"/>
              <w:bottom w:val="single" w:sz="4" w:space="0" w:color="auto"/>
              <w:right w:val="single" w:sz="4" w:space="0" w:color="auto"/>
            </w:tcBorders>
          </w:tcPr>
          <w:p w:rsidR="005B415B" w:rsidRPr="00D50E91" w:rsidRDefault="003D757E" w:rsidP="00B11587">
            <w:pPr>
              <w:autoSpaceDE w:val="0"/>
              <w:autoSpaceDN w:val="0"/>
              <w:adjustRightInd w:val="0"/>
              <w:ind w:left="56" w:right="56"/>
              <w:jc w:val="center"/>
              <w:rPr>
                <w:sz w:val="20"/>
                <w:szCs w:val="20"/>
              </w:rPr>
            </w:pPr>
            <w:r w:rsidRPr="00D50E91">
              <w:rPr>
                <w:sz w:val="20"/>
                <w:szCs w:val="20"/>
              </w:rPr>
              <w:t xml:space="preserve"> </w:t>
            </w:r>
            <w:r w:rsidR="005B415B" w:rsidRPr="00D50E91">
              <w:rPr>
                <w:sz w:val="20"/>
                <w:szCs w:val="20"/>
              </w:rPr>
              <w:t>15</w:t>
            </w:r>
          </w:p>
        </w:tc>
        <w:tc>
          <w:tcPr>
            <w:tcW w:w="5880" w:type="dxa"/>
            <w:gridSpan w:val="2"/>
            <w:tcBorders>
              <w:top w:val="single" w:sz="4" w:space="0" w:color="auto"/>
              <w:left w:val="single" w:sz="4" w:space="0" w:color="auto"/>
              <w:bottom w:val="single" w:sz="4" w:space="0" w:color="auto"/>
              <w:right w:val="single" w:sz="4" w:space="0" w:color="auto"/>
            </w:tcBorders>
            <w:vAlign w:val="center"/>
          </w:tcPr>
          <w:p w:rsidR="005B415B" w:rsidRPr="00D50E91" w:rsidRDefault="003D757E" w:rsidP="00B11587">
            <w:pPr>
              <w:rPr>
                <w:sz w:val="20"/>
                <w:szCs w:val="20"/>
              </w:rPr>
            </w:pPr>
            <w:r w:rsidRPr="00D50E91">
              <w:rPr>
                <w:sz w:val="20"/>
                <w:szCs w:val="20"/>
              </w:rPr>
              <w:t xml:space="preserve"> T</w:t>
            </w:r>
            <w:r w:rsidR="005B415B" w:rsidRPr="00D50E91">
              <w:rPr>
                <w:sz w:val="20"/>
                <w:szCs w:val="20"/>
              </w:rPr>
              <w:t>űzgátló nyílászáró tűzgátló falban és tűzgátló födémben</w:t>
            </w:r>
          </w:p>
        </w:tc>
        <w:tc>
          <w:tcPr>
            <w:tcW w:w="904" w:type="dxa"/>
            <w:vMerge/>
            <w:tcBorders>
              <w:left w:val="single" w:sz="4" w:space="0" w:color="auto"/>
              <w:bottom w:val="single" w:sz="4" w:space="0" w:color="auto"/>
              <w:right w:val="single" w:sz="4" w:space="0" w:color="auto"/>
            </w:tcBorders>
            <w:vAlign w:val="center"/>
          </w:tcPr>
          <w:p w:rsidR="005B415B" w:rsidRPr="00D50E91" w:rsidRDefault="005B415B" w:rsidP="00B11587">
            <w:pPr>
              <w:autoSpaceDE w:val="0"/>
              <w:autoSpaceDN w:val="0"/>
              <w:adjustRightInd w:val="0"/>
              <w:ind w:right="56"/>
              <w:jc w:val="center"/>
              <w:rPr>
                <w:sz w:val="20"/>
                <w:szCs w:val="20"/>
              </w:rPr>
            </w:pPr>
          </w:p>
        </w:tc>
        <w:tc>
          <w:tcPr>
            <w:tcW w:w="1995" w:type="dxa"/>
            <w:gridSpan w:val="3"/>
            <w:vMerge w:val="restart"/>
            <w:tcBorders>
              <w:top w:val="single" w:sz="4" w:space="0" w:color="auto"/>
              <w:right w:val="single" w:sz="4" w:space="0" w:color="auto"/>
            </w:tcBorders>
          </w:tcPr>
          <w:p w:rsidR="005B415B" w:rsidRPr="00D50E91" w:rsidDel="004C37E9" w:rsidRDefault="005B415B" w:rsidP="00B11587">
            <w:pPr>
              <w:jc w:val="center"/>
              <w:rPr>
                <w:sz w:val="20"/>
                <w:szCs w:val="20"/>
              </w:rPr>
            </w:pPr>
            <w:r w:rsidRPr="00D50E91">
              <w:rPr>
                <w:sz w:val="20"/>
                <w:szCs w:val="20"/>
              </w:rPr>
              <w:t>30</w:t>
            </w:r>
          </w:p>
        </w:tc>
        <w:tc>
          <w:tcPr>
            <w:tcW w:w="1394" w:type="dxa"/>
            <w:gridSpan w:val="4"/>
            <w:vMerge w:val="restart"/>
            <w:tcBorders>
              <w:top w:val="single" w:sz="4" w:space="0" w:color="auto"/>
              <w:right w:val="single" w:sz="4" w:space="0" w:color="auto"/>
            </w:tcBorders>
            <w:shd w:val="clear" w:color="auto" w:fill="BFBFBF"/>
          </w:tcPr>
          <w:p w:rsidR="005B415B" w:rsidRPr="00D50E91" w:rsidRDefault="005B415B" w:rsidP="00B11587">
            <w:pPr>
              <w:jc w:val="center"/>
              <w:rPr>
                <w:sz w:val="20"/>
                <w:szCs w:val="20"/>
              </w:rPr>
            </w:pPr>
            <w:r w:rsidRPr="00D50E91">
              <w:rPr>
                <w:sz w:val="20"/>
                <w:szCs w:val="20"/>
              </w:rPr>
              <w:t>30</w:t>
            </w:r>
          </w:p>
        </w:tc>
        <w:tc>
          <w:tcPr>
            <w:tcW w:w="817" w:type="dxa"/>
            <w:vMerge w:val="restart"/>
            <w:tcBorders>
              <w:top w:val="single" w:sz="4" w:space="0" w:color="auto"/>
              <w:right w:val="single" w:sz="4" w:space="0" w:color="auto"/>
            </w:tcBorders>
            <w:shd w:val="clear" w:color="auto" w:fill="BFBFBF"/>
          </w:tcPr>
          <w:p w:rsidR="005B415B" w:rsidRPr="00D50E91" w:rsidRDefault="005B415B" w:rsidP="00B11587">
            <w:pPr>
              <w:jc w:val="center"/>
              <w:rPr>
                <w:sz w:val="20"/>
                <w:szCs w:val="20"/>
              </w:rPr>
            </w:pPr>
            <w:r w:rsidRPr="00D50E91">
              <w:rPr>
                <w:sz w:val="20"/>
                <w:szCs w:val="20"/>
              </w:rPr>
              <w:t>30</w:t>
            </w:r>
          </w:p>
        </w:tc>
        <w:tc>
          <w:tcPr>
            <w:tcW w:w="665" w:type="dxa"/>
            <w:vMerge w:val="restart"/>
            <w:tcBorders>
              <w:top w:val="single" w:sz="4" w:space="0" w:color="auto"/>
              <w:right w:val="single" w:sz="4" w:space="0" w:color="auto"/>
            </w:tcBorders>
          </w:tcPr>
          <w:p w:rsidR="005B415B" w:rsidRPr="00D50E91" w:rsidRDefault="005B415B" w:rsidP="00B11587">
            <w:pPr>
              <w:jc w:val="center"/>
              <w:rPr>
                <w:sz w:val="20"/>
                <w:szCs w:val="20"/>
              </w:rPr>
            </w:pPr>
            <w:r w:rsidRPr="00D50E91">
              <w:rPr>
                <w:sz w:val="20"/>
                <w:szCs w:val="20"/>
              </w:rPr>
              <w:t>30</w:t>
            </w:r>
          </w:p>
        </w:tc>
        <w:tc>
          <w:tcPr>
            <w:tcW w:w="1331" w:type="dxa"/>
            <w:gridSpan w:val="2"/>
            <w:vMerge w:val="restart"/>
            <w:tcBorders>
              <w:top w:val="single" w:sz="4" w:space="0" w:color="auto"/>
              <w:right w:val="single" w:sz="4" w:space="0" w:color="auto"/>
            </w:tcBorders>
          </w:tcPr>
          <w:p w:rsidR="005B415B" w:rsidRPr="00D50E91" w:rsidRDefault="005B415B" w:rsidP="00B11587">
            <w:pPr>
              <w:jc w:val="center"/>
              <w:rPr>
                <w:sz w:val="20"/>
                <w:szCs w:val="20"/>
              </w:rPr>
            </w:pPr>
            <w:r w:rsidRPr="00D50E91">
              <w:rPr>
                <w:sz w:val="20"/>
                <w:szCs w:val="20"/>
              </w:rPr>
              <w:t>60</w:t>
            </w:r>
          </w:p>
        </w:tc>
        <w:tc>
          <w:tcPr>
            <w:tcW w:w="665" w:type="dxa"/>
            <w:vMerge w:val="restart"/>
            <w:tcBorders>
              <w:top w:val="single" w:sz="4" w:space="0" w:color="auto"/>
              <w:right w:val="single" w:sz="4" w:space="0" w:color="auto"/>
            </w:tcBorders>
            <w:shd w:val="clear" w:color="auto" w:fill="BFBFBF"/>
          </w:tcPr>
          <w:p w:rsidR="005B415B" w:rsidRPr="00D50E91" w:rsidRDefault="005B415B" w:rsidP="00B11587">
            <w:pPr>
              <w:jc w:val="center"/>
              <w:rPr>
                <w:sz w:val="20"/>
                <w:szCs w:val="20"/>
              </w:rPr>
            </w:pPr>
            <w:r w:rsidRPr="00D50E91">
              <w:rPr>
                <w:sz w:val="20"/>
                <w:szCs w:val="20"/>
              </w:rPr>
              <w:t>60</w:t>
            </w:r>
          </w:p>
        </w:tc>
        <w:tc>
          <w:tcPr>
            <w:tcW w:w="1330" w:type="dxa"/>
            <w:gridSpan w:val="2"/>
            <w:vMerge w:val="restart"/>
            <w:tcBorders>
              <w:top w:val="single" w:sz="4" w:space="0" w:color="auto"/>
              <w:right w:val="single" w:sz="4" w:space="0" w:color="auto"/>
            </w:tcBorders>
            <w:shd w:val="clear" w:color="auto" w:fill="BFBFBF"/>
          </w:tcPr>
          <w:p w:rsidR="005B415B" w:rsidRPr="00D50E91" w:rsidRDefault="005B415B" w:rsidP="00B11587">
            <w:pPr>
              <w:jc w:val="center"/>
              <w:rPr>
                <w:sz w:val="20"/>
                <w:szCs w:val="20"/>
              </w:rPr>
            </w:pPr>
            <w:r w:rsidRPr="00D50E91">
              <w:rPr>
                <w:sz w:val="20"/>
                <w:szCs w:val="20"/>
              </w:rPr>
              <w:t>90</w:t>
            </w:r>
          </w:p>
        </w:tc>
      </w:tr>
      <w:tr w:rsidR="005B415B" w:rsidRPr="00D50E91" w:rsidTr="00B11587">
        <w:tc>
          <w:tcPr>
            <w:tcW w:w="400" w:type="dxa"/>
            <w:tcBorders>
              <w:top w:val="single" w:sz="4" w:space="0" w:color="auto"/>
              <w:left w:val="single" w:sz="4" w:space="0" w:color="auto"/>
              <w:bottom w:val="single" w:sz="4" w:space="0" w:color="auto"/>
              <w:right w:val="single" w:sz="4" w:space="0" w:color="auto"/>
            </w:tcBorders>
          </w:tcPr>
          <w:p w:rsidR="005B415B" w:rsidRPr="00D50E91" w:rsidRDefault="003D757E" w:rsidP="00B11587">
            <w:pPr>
              <w:autoSpaceDE w:val="0"/>
              <w:autoSpaceDN w:val="0"/>
              <w:adjustRightInd w:val="0"/>
              <w:ind w:left="56" w:right="56"/>
              <w:jc w:val="center"/>
              <w:rPr>
                <w:sz w:val="20"/>
                <w:szCs w:val="20"/>
              </w:rPr>
            </w:pPr>
            <w:r w:rsidRPr="00D50E91">
              <w:rPr>
                <w:sz w:val="20"/>
                <w:szCs w:val="20"/>
              </w:rPr>
              <w:t xml:space="preserve"> </w:t>
            </w:r>
            <w:r w:rsidR="005B415B" w:rsidRPr="00D50E91">
              <w:rPr>
                <w:sz w:val="20"/>
                <w:szCs w:val="20"/>
              </w:rPr>
              <w:t>16</w:t>
            </w:r>
          </w:p>
        </w:tc>
        <w:tc>
          <w:tcPr>
            <w:tcW w:w="5880" w:type="dxa"/>
            <w:gridSpan w:val="2"/>
            <w:tcBorders>
              <w:top w:val="single" w:sz="4" w:space="0" w:color="auto"/>
              <w:left w:val="single" w:sz="4" w:space="0" w:color="auto"/>
              <w:bottom w:val="single" w:sz="4" w:space="0" w:color="auto"/>
              <w:right w:val="single" w:sz="4" w:space="0" w:color="auto"/>
            </w:tcBorders>
            <w:vAlign w:val="center"/>
          </w:tcPr>
          <w:p w:rsidR="005B415B" w:rsidRPr="00D50E91" w:rsidRDefault="003D757E" w:rsidP="00B11587">
            <w:pPr>
              <w:rPr>
                <w:sz w:val="20"/>
                <w:szCs w:val="20"/>
              </w:rPr>
            </w:pPr>
            <w:r w:rsidRPr="00D50E91">
              <w:rPr>
                <w:sz w:val="20"/>
                <w:szCs w:val="20"/>
              </w:rPr>
              <w:t xml:space="preserve"> T</w:t>
            </w:r>
            <w:r w:rsidR="005B415B" w:rsidRPr="00D50E91">
              <w:rPr>
                <w:sz w:val="20"/>
                <w:szCs w:val="20"/>
              </w:rPr>
              <w:t>űzgátló záróelem</w:t>
            </w:r>
          </w:p>
        </w:tc>
        <w:tc>
          <w:tcPr>
            <w:tcW w:w="904" w:type="dxa"/>
            <w:tcBorders>
              <w:top w:val="single" w:sz="4" w:space="0" w:color="auto"/>
              <w:left w:val="single" w:sz="4" w:space="0" w:color="auto"/>
              <w:bottom w:val="single" w:sz="4" w:space="0" w:color="auto"/>
              <w:right w:val="single" w:sz="4" w:space="0" w:color="auto"/>
            </w:tcBorders>
            <w:vAlign w:val="center"/>
          </w:tcPr>
          <w:p w:rsidR="005B415B" w:rsidRPr="00D50E91" w:rsidRDefault="005B415B" w:rsidP="00B11587">
            <w:pPr>
              <w:autoSpaceDE w:val="0"/>
              <w:autoSpaceDN w:val="0"/>
              <w:adjustRightInd w:val="0"/>
              <w:ind w:right="56"/>
              <w:jc w:val="center"/>
              <w:rPr>
                <w:sz w:val="20"/>
                <w:szCs w:val="20"/>
              </w:rPr>
            </w:pPr>
            <w:r w:rsidRPr="00D50E91">
              <w:rPr>
                <w:sz w:val="20"/>
                <w:szCs w:val="20"/>
              </w:rPr>
              <w:t>EI</w:t>
            </w:r>
          </w:p>
        </w:tc>
        <w:tc>
          <w:tcPr>
            <w:tcW w:w="1995" w:type="dxa"/>
            <w:gridSpan w:val="3"/>
            <w:vMerge/>
            <w:tcBorders>
              <w:bottom w:val="single" w:sz="4" w:space="0" w:color="auto"/>
              <w:right w:val="single" w:sz="4" w:space="0" w:color="auto"/>
            </w:tcBorders>
          </w:tcPr>
          <w:p w:rsidR="005B415B" w:rsidRPr="00D50E91" w:rsidDel="004C37E9" w:rsidRDefault="005B415B" w:rsidP="00B11587">
            <w:pPr>
              <w:jc w:val="center"/>
              <w:rPr>
                <w:sz w:val="20"/>
                <w:szCs w:val="20"/>
              </w:rPr>
            </w:pPr>
          </w:p>
        </w:tc>
        <w:tc>
          <w:tcPr>
            <w:tcW w:w="1394" w:type="dxa"/>
            <w:gridSpan w:val="4"/>
            <w:vMerge/>
            <w:tcBorders>
              <w:bottom w:val="single" w:sz="4" w:space="0" w:color="auto"/>
              <w:right w:val="single" w:sz="4" w:space="0" w:color="auto"/>
            </w:tcBorders>
            <w:shd w:val="clear" w:color="auto" w:fill="BFBFBF"/>
          </w:tcPr>
          <w:p w:rsidR="005B415B" w:rsidRPr="00D50E91" w:rsidRDefault="005B415B" w:rsidP="00B11587">
            <w:pPr>
              <w:jc w:val="center"/>
              <w:rPr>
                <w:sz w:val="20"/>
                <w:szCs w:val="20"/>
              </w:rPr>
            </w:pPr>
          </w:p>
        </w:tc>
        <w:tc>
          <w:tcPr>
            <w:tcW w:w="817" w:type="dxa"/>
            <w:vMerge/>
            <w:tcBorders>
              <w:bottom w:val="single" w:sz="4" w:space="0" w:color="auto"/>
              <w:right w:val="single" w:sz="4" w:space="0" w:color="auto"/>
            </w:tcBorders>
            <w:shd w:val="clear" w:color="auto" w:fill="BFBFBF"/>
          </w:tcPr>
          <w:p w:rsidR="005B415B" w:rsidRPr="00D50E91" w:rsidRDefault="005B415B" w:rsidP="00B11587">
            <w:pPr>
              <w:jc w:val="center"/>
              <w:rPr>
                <w:sz w:val="20"/>
                <w:szCs w:val="20"/>
              </w:rPr>
            </w:pPr>
          </w:p>
        </w:tc>
        <w:tc>
          <w:tcPr>
            <w:tcW w:w="665" w:type="dxa"/>
            <w:vMerge/>
            <w:tcBorders>
              <w:bottom w:val="single" w:sz="4" w:space="0" w:color="auto"/>
              <w:right w:val="single" w:sz="4" w:space="0" w:color="auto"/>
            </w:tcBorders>
          </w:tcPr>
          <w:p w:rsidR="005B415B" w:rsidRPr="00D50E91" w:rsidRDefault="005B415B" w:rsidP="00B11587">
            <w:pPr>
              <w:jc w:val="center"/>
              <w:rPr>
                <w:sz w:val="20"/>
                <w:szCs w:val="20"/>
              </w:rPr>
            </w:pPr>
          </w:p>
        </w:tc>
        <w:tc>
          <w:tcPr>
            <w:tcW w:w="1331" w:type="dxa"/>
            <w:gridSpan w:val="2"/>
            <w:vMerge/>
            <w:tcBorders>
              <w:bottom w:val="single" w:sz="4" w:space="0" w:color="auto"/>
              <w:right w:val="single" w:sz="4" w:space="0" w:color="auto"/>
            </w:tcBorders>
          </w:tcPr>
          <w:p w:rsidR="005B415B" w:rsidRPr="00D50E91" w:rsidRDefault="005B415B" w:rsidP="00B11587">
            <w:pPr>
              <w:jc w:val="center"/>
              <w:rPr>
                <w:sz w:val="20"/>
                <w:szCs w:val="20"/>
              </w:rPr>
            </w:pPr>
          </w:p>
        </w:tc>
        <w:tc>
          <w:tcPr>
            <w:tcW w:w="665" w:type="dxa"/>
            <w:vMerge/>
            <w:tcBorders>
              <w:bottom w:val="single" w:sz="4" w:space="0" w:color="auto"/>
              <w:right w:val="single" w:sz="4" w:space="0" w:color="auto"/>
            </w:tcBorders>
            <w:shd w:val="clear" w:color="auto" w:fill="BFBFBF"/>
          </w:tcPr>
          <w:p w:rsidR="005B415B" w:rsidRPr="00D50E91" w:rsidRDefault="005B415B" w:rsidP="00B11587">
            <w:pPr>
              <w:jc w:val="center"/>
              <w:rPr>
                <w:sz w:val="20"/>
                <w:szCs w:val="20"/>
              </w:rPr>
            </w:pPr>
          </w:p>
        </w:tc>
        <w:tc>
          <w:tcPr>
            <w:tcW w:w="1330" w:type="dxa"/>
            <w:gridSpan w:val="2"/>
            <w:vMerge/>
            <w:tcBorders>
              <w:bottom w:val="single" w:sz="4" w:space="0" w:color="auto"/>
              <w:right w:val="single" w:sz="4" w:space="0" w:color="auto"/>
            </w:tcBorders>
            <w:shd w:val="clear" w:color="auto" w:fill="BFBFBF"/>
          </w:tcPr>
          <w:p w:rsidR="005B415B" w:rsidRPr="00D50E91" w:rsidRDefault="005B415B" w:rsidP="00B11587">
            <w:pPr>
              <w:jc w:val="center"/>
              <w:rPr>
                <w:sz w:val="20"/>
                <w:szCs w:val="20"/>
              </w:rPr>
            </w:pPr>
          </w:p>
        </w:tc>
      </w:tr>
      <w:tr w:rsidR="005B415B" w:rsidRPr="00D50E91" w:rsidTr="00B11587">
        <w:tc>
          <w:tcPr>
            <w:tcW w:w="400" w:type="dxa"/>
            <w:tcBorders>
              <w:top w:val="single" w:sz="4" w:space="0" w:color="auto"/>
              <w:left w:val="single" w:sz="4" w:space="0" w:color="auto"/>
              <w:bottom w:val="single" w:sz="4" w:space="0" w:color="auto"/>
              <w:right w:val="single" w:sz="4" w:space="0" w:color="auto"/>
            </w:tcBorders>
          </w:tcPr>
          <w:p w:rsidR="005B415B" w:rsidRPr="00D50E91" w:rsidRDefault="003D757E" w:rsidP="00B11587">
            <w:pPr>
              <w:autoSpaceDE w:val="0"/>
              <w:autoSpaceDN w:val="0"/>
              <w:adjustRightInd w:val="0"/>
              <w:ind w:left="56" w:right="56"/>
              <w:jc w:val="center"/>
              <w:rPr>
                <w:sz w:val="20"/>
                <w:szCs w:val="20"/>
              </w:rPr>
            </w:pPr>
            <w:r w:rsidRPr="00D50E91">
              <w:rPr>
                <w:sz w:val="20"/>
                <w:szCs w:val="20"/>
              </w:rPr>
              <w:t xml:space="preserve"> </w:t>
            </w:r>
            <w:r w:rsidR="005B415B" w:rsidRPr="00D50E91">
              <w:rPr>
                <w:sz w:val="20"/>
                <w:szCs w:val="20"/>
              </w:rPr>
              <w:t>17</w:t>
            </w:r>
          </w:p>
        </w:tc>
        <w:tc>
          <w:tcPr>
            <w:tcW w:w="5880" w:type="dxa"/>
            <w:gridSpan w:val="2"/>
            <w:tcBorders>
              <w:top w:val="single" w:sz="4" w:space="0" w:color="auto"/>
              <w:left w:val="single" w:sz="4" w:space="0" w:color="auto"/>
              <w:bottom w:val="single" w:sz="4" w:space="0" w:color="auto"/>
              <w:right w:val="single" w:sz="4" w:space="0" w:color="auto"/>
            </w:tcBorders>
            <w:vAlign w:val="center"/>
          </w:tcPr>
          <w:p w:rsidR="005B415B" w:rsidRPr="00D50E91" w:rsidRDefault="003D757E" w:rsidP="00B11587">
            <w:pPr>
              <w:rPr>
                <w:sz w:val="20"/>
                <w:szCs w:val="20"/>
              </w:rPr>
            </w:pPr>
            <w:r w:rsidRPr="00D50E91">
              <w:rPr>
                <w:sz w:val="20"/>
                <w:szCs w:val="20"/>
              </w:rPr>
              <w:t xml:space="preserve"> F</w:t>
            </w:r>
            <w:r w:rsidR="005B415B" w:rsidRPr="00D50E91">
              <w:rPr>
                <w:sz w:val="20"/>
                <w:szCs w:val="20"/>
              </w:rPr>
              <w:t>elvonóakna ajtó, ha tűzterjedés elleni védelemre szolgál</w:t>
            </w:r>
          </w:p>
        </w:tc>
        <w:tc>
          <w:tcPr>
            <w:tcW w:w="904" w:type="dxa"/>
            <w:tcBorders>
              <w:top w:val="single" w:sz="4" w:space="0" w:color="auto"/>
              <w:left w:val="single" w:sz="4" w:space="0" w:color="auto"/>
              <w:bottom w:val="single" w:sz="4" w:space="0" w:color="auto"/>
              <w:right w:val="single" w:sz="4" w:space="0" w:color="auto"/>
            </w:tcBorders>
            <w:vAlign w:val="center"/>
          </w:tcPr>
          <w:p w:rsidR="005B415B" w:rsidRPr="00D50E91" w:rsidRDefault="005B415B" w:rsidP="00B11587">
            <w:pPr>
              <w:autoSpaceDE w:val="0"/>
              <w:autoSpaceDN w:val="0"/>
              <w:adjustRightInd w:val="0"/>
              <w:ind w:right="56"/>
              <w:jc w:val="center"/>
              <w:rPr>
                <w:sz w:val="20"/>
                <w:szCs w:val="20"/>
              </w:rPr>
            </w:pPr>
          </w:p>
        </w:tc>
        <w:tc>
          <w:tcPr>
            <w:tcW w:w="8197" w:type="dxa"/>
            <w:gridSpan w:val="14"/>
            <w:tcBorders>
              <w:top w:val="single" w:sz="4" w:space="0" w:color="auto"/>
              <w:bottom w:val="single" w:sz="4" w:space="0" w:color="auto"/>
              <w:right w:val="single" w:sz="4" w:space="0" w:color="auto"/>
            </w:tcBorders>
          </w:tcPr>
          <w:p w:rsidR="005B415B" w:rsidRPr="00D50E91" w:rsidRDefault="005B415B" w:rsidP="00B11587">
            <w:pPr>
              <w:jc w:val="center"/>
              <w:rPr>
                <w:sz w:val="20"/>
                <w:szCs w:val="20"/>
              </w:rPr>
            </w:pPr>
            <w:r w:rsidRPr="00D50E91">
              <w:rPr>
                <w:sz w:val="16"/>
                <w:szCs w:val="16"/>
              </w:rPr>
              <w:t xml:space="preserve"> a vonatkozó műszaki követelmény szerint</w:t>
            </w:r>
          </w:p>
        </w:tc>
      </w:tr>
      <w:tr w:rsidR="005B415B" w:rsidRPr="00D50E91" w:rsidTr="00B11587">
        <w:tc>
          <w:tcPr>
            <w:tcW w:w="400" w:type="dxa"/>
            <w:tcBorders>
              <w:top w:val="single" w:sz="4" w:space="0" w:color="auto"/>
              <w:left w:val="single" w:sz="4" w:space="0" w:color="auto"/>
              <w:bottom w:val="single" w:sz="4" w:space="0" w:color="auto"/>
              <w:right w:val="single" w:sz="4" w:space="0" w:color="auto"/>
            </w:tcBorders>
          </w:tcPr>
          <w:p w:rsidR="005B415B" w:rsidRPr="00D50E91" w:rsidDel="004C37E9" w:rsidRDefault="003D757E" w:rsidP="00B11587">
            <w:pPr>
              <w:autoSpaceDE w:val="0"/>
              <w:autoSpaceDN w:val="0"/>
              <w:adjustRightInd w:val="0"/>
              <w:ind w:left="56" w:right="56"/>
              <w:jc w:val="center"/>
              <w:rPr>
                <w:sz w:val="20"/>
                <w:szCs w:val="20"/>
              </w:rPr>
            </w:pPr>
            <w:r w:rsidRPr="00D50E91">
              <w:rPr>
                <w:sz w:val="20"/>
                <w:szCs w:val="20"/>
              </w:rPr>
              <w:lastRenderedPageBreak/>
              <w:t xml:space="preserve"> </w:t>
            </w:r>
            <w:r w:rsidR="005B415B" w:rsidRPr="00D50E91">
              <w:rPr>
                <w:sz w:val="20"/>
                <w:szCs w:val="20"/>
              </w:rPr>
              <w:t>18</w:t>
            </w:r>
          </w:p>
        </w:tc>
        <w:tc>
          <w:tcPr>
            <w:tcW w:w="5880" w:type="dxa"/>
            <w:gridSpan w:val="2"/>
            <w:tcBorders>
              <w:top w:val="single" w:sz="4" w:space="0" w:color="auto"/>
              <w:left w:val="single" w:sz="4" w:space="0" w:color="auto"/>
              <w:bottom w:val="single" w:sz="4" w:space="0" w:color="auto"/>
              <w:right w:val="single" w:sz="4" w:space="0" w:color="auto"/>
            </w:tcBorders>
          </w:tcPr>
          <w:p w:rsidR="005B415B" w:rsidRPr="00D50E91" w:rsidDel="004C37E9" w:rsidRDefault="003D757E" w:rsidP="003D757E">
            <w:pPr>
              <w:rPr>
                <w:sz w:val="20"/>
                <w:szCs w:val="20"/>
              </w:rPr>
            </w:pPr>
            <w:r w:rsidRPr="00D50E91">
              <w:rPr>
                <w:sz w:val="20"/>
                <w:szCs w:val="20"/>
              </w:rPr>
              <w:t xml:space="preserve"> T</w:t>
            </w:r>
            <w:r w:rsidR="005B415B" w:rsidRPr="00D50E91">
              <w:rPr>
                <w:sz w:val="20"/>
                <w:szCs w:val="20"/>
              </w:rPr>
              <w:t>űzgátló réskitöltő</w:t>
            </w:r>
            <w:r w:rsidR="003528A8">
              <w:rPr>
                <w:sz w:val="20"/>
                <w:szCs w:val="20"/>
              </w:rPr>
              <w:t>-</w:t>
            </w:r>
            <w:r w:rsidR="005B415B" w:rsidRPr="00D50E91">
              <w:rPr>
                <w:sz w:val="20"/>
                <w:szCs w:val="20"/>
              </w:rPr>
              <w:t>réslezáró rendszerek</w:t>
            </w:r>
            <w:r w:rsidRPr="00D50E91">
              <w:rPr>
                <w:sz w:val="20"/>
                <w:szCs w:val="20"/>
              </w:rPr>
              <w:t xml:space="preserve">, </w:t>
            </w:r>
            <w:r w:rsidR="005B415B" w:rsidRPr="00D50E91">
              <w:rPr>
                <w:sz w:val="20"/>
                <w:szCs w:val="20"/>
              </w:rPr>
              <w:t>tűzgátló lineáris hézagtömítések</w:t>
            </w:r>
          </w:p>
        </w:tc>
        <w:tc>
          <w:tcPr>
            <w:tcW w:w="904" w:type="dxa"/>
            <w:tcBorders>
              <w:top w:val="single" w:sz="4" w:space="0" w:color="auto"/>
              <w:left w:val="single" w:sz="4" w:space="0" w:color="auto"/>
              <w:bottom w:val="single" w:sz="4" w:space="0" w:color="auto"/>
              <w:right w:val="single" w:sz="4" w:space="0" w:color="auto"/>
            </w:tcBorders>
            <w:vAlign w:val="center"/>
          </w:tcPr>
          <w:p w:rsidR="005B415B" w:rsidRPr="00D50E91" w:rsidDel="004C37E9" w:rsidRDefault="005B415B" w:rsidP="00B11587">
            <w:pPr>
              <w:autoSpaceDE w:val="0"/>
              <w:autoSpaceDN w:val="0"/>
              <w:adjustRightInd w:val="0"/>
              <w:ind w:right="56"/>
              <w:jc w:val="center"/>
              <w:rPr>
                <w:sz w:val="20"/>
                <w:szCs w:val="20"/>
              </w:rPr>
            </w:pPr>
            <w:r w:rsidRPr="00D50E91">
              <w:rPr>
                <w:sz w:val="20"/>
                <w:szCs w:val="20"/>
              </w:rPr>
              <w:t>EI</w:t>
            </w:r>
          </w:p>
        </w:tc>
        <w:tc>
          <w:tcPr>
            <w:tcW w:w="8197" w:type="dxa"/>
            <w:gridSpan w:val="14"/>
            <w:tcBorders>
              <w:top w:val="single" w:sz="4" w:space="0" w:color="auto"/>
              <w:bottom w:val="single" w:sz="4" w:space="0" w:color="auto"/>
              <w:right w:val="single" w:sz="4" w:space="0" w:color="auto"/>
            </w:tcBorders>
          </w:tcPr>
          <w:p w:rsidR="005B415B" w:rsidRPr="00D50E91" w:rsidDel="004C37E9" w:rsidRDefault="005B415B" w:rsidP="00B11587">
            <w:pPr>
              <w:jc w:val="center"/>
              <w:rPr>
                <w:sz w:val="20"/>
                <w:szCs w:val="20"/>
              </w:rPr>
            </w:pPr>
            <w:r w:rsidRPr="00D50E91">
              <w:rPr>
                <w:sz w:val="16"/>
                <w:szCs w:val="16"/>
              </w:rPr>
              <w:t xml:space="preserve"> az átvezetéssel érintett, továbbá a csatlakozó szerkezetekre előírt követelménnyel legalább megegyező tűzállósági teljesítményű, de legfeljebb EI 90</w:t>
            </w:r>
          </w:p>
        </w:tc>
      </w:tr>
      <w:tr w:rsidR="005B415B" w:rsidRPr="00D50E91" w:rsidTr="00B11587">
        <w:tc>
          <w:tcPr>
            <w:tcW w:w="400" w:type="dxa"/>
            <w:tcBorders>
              <w:top w:val="single" w:sz="4" w:space="0" w:color="auto"/>
              <w:left w:val="single" w:sz="4" w:space="0" w:color="auto"/>
              <w:bottom w:val="single" w:sz="4" w:space="0" w:color="auto"/>
              <w:right w:val="single" w:sz="4" w:space="0" w:color="auto"/>
            </w:tcBorders>
          </w:tcPr>
          <w:p w:rsidR="005B415B" w:rsidRPr="00D50E91" w:rsidDel="004C37E9" w:rsidRDefault="003D757E" w:rsidP="00B11587">
            <w:pPr>
              <w:autoSpaceDE w:val="0"/>
              <w:autoSpaceDN w:val="0"/>
              <w:adjustRightInd w:val="0"/>
              <w:ind w:left="56" w:right="56"/>
              <w:jc w:val="center"/>
              <w:rPr>
                <w:sz w:val="20"/>
                <w:szCs w:val="20"/>
              </w:rPr>
            </w:pPr>
            <w:r w:rsidRPr="00D50E91">
              <w:rPr>
                <w:sz w:val="20"/>
                <w:szCs w:val="20"/>
              </w:rPr>
              <w:t xml:space="preserve"> </w:t>
            </w:r>
            <w:r w:rsidR="005B415B" w:rsidRPr="00D50E91">
              <w:rPr>
                <w:sz w:val="20"/>
                <w:szCs w:val="20"/>
              </w:rPr>
              <w:t>19</w:t>
            </w:r>
          </w:p>
        </w:tc>
        <w:tc>
          <w:tcPr>
            <w:tcW w:w="5880" w:type="dxa"/>
            <w:gridSpan w:val="2"/>
            <w:tcBorders>
              <w:top w:val="single" w:sz="4" w:space="0" w:color="auto"/>
              <w:left w:val="single" w:sz="4" w:space="0" w:color="auto"/>
              <w:bottom w:val="single" w:sz="4" w:space="0" w:color="auto"/>
              <w:right w:val="single" w:sz="4" w:space="0" w:color="auto"/>
            </w:tcBorders>
            <w:vAlign w:val="center"/>
          </w:tcPr>
          <w:p w:rsidR="005B415B" w:rsidRPr="00D50E91" w:rsidDel="004C37E9" w:rsidRDefault="003D757E" w:rsidP="00B11587">
            <w:pPr>
              <w:rPr>
                <w:sz w:val="20"/>
                <w:szCs w:val="20"/>
              </w:rPr>
            </w:pPr>
            <w:r w:rsidRPr="00D50E91">
              <w:rPr>
                <w:sz w:val="20"/>
                <w:szCs w:val="20"/>
              </w:rPr>
              <w:t xml:space="preserve"> M</w:t>
            </w:r>
            <w:r w:rsidR="005B415B" w:rsidRPr="00D50E91">
              <w:rPr>
                <w:sz w:val="20"/>
                <w:szCs w:val="20"/>
              </w:rPr>
              <w:t>enekülési útvonal padlóburkolata</w:t>
            </w:r>
          </w:p>
        </w:tc>
        <w:tc>
          <w:tcPr>
            <w:tcW w:w="904" w:type="dxa"/>
            <w:tcBorders>
              <w:top w:val="single" w:sz="4" w:space="0" w:color="auto"/>
              <w:left w:val="single" w:sz="4" w:space="0" w:color="auto"/>
              <w:bottom w:val="single" w:sz="4" w:space="0" w:color="auto"/>
              <w:right w:val="single" w:sz="4" w:space="0" w:color="auto"/>
            </w:tcBorders>
            <w:vAlign w:val="center"/>
          </w:tcPr>
          <w:p w:rsidR="005B415B" w:rsidRPr="00D50E91" w:rsidDel="004C37E9" w:rsidRDefault="005B415B" w:rsidP="00B11587">
            <w:pPr>
              <w:autoSpaceDE w:val="0"/>
              <w:autoSpaceDN w:val="0"/>
              <w:adjustRightInd w:val="0"/>
              <w:ind w:right="56"/>
              <w:jc w:val="center"/>
              <w:rPr>
                <w:sz w:val="20"/>
                <w:szCs w:val="20"/>
              </w:rPr>
            </w:pPr>
          </w:p>
        </w:tc>
        <w:tc>
          <w:tcPr>
            <w:tcW w:w="1995" w:type="dxa"/>
            <w:gridSpan w:val="3"/>
            <w:vMerge w:val="restart"/>
            <w:tcBorders>
              <w:top w:val="single" w:sz="4" w:space="0" w:color="auto"/>
              <w:right w:val="single" w:sz="4" w:space="0" w:color="auto"/>
            </w:tcBorders>
          </w:tcPr>
          <w:p w:rsidR="005B415B" w:rsidRPr="00D50E91" w:rsidDel="004C37E9" w:rsidRDefault="005B415B" w:rsidP="00B11587">
            <w:pPr>
              <w:jc w:val="center"/>
              <w:rPr>
                <w:sz w:val="20"/>
                <w:szCs w:val="20"/>
              </w:rPr>
            </w:pPr>
            <w:r w:rsidRPr="00D50E91">
              <w:rPr>
                <w:sz w:val="20"/>
                <w:szCs w:val="20"/>
              </w:rPr>
              <w:t>D</w:t>
            </w:r>
            <w:r w:rsidRPr="00D50E91">
              <w:rPr>
                <w:sz w:val="20"/>
                <w:szCs w:val="20"/>
                <w:vertAlign w:val="subscript"/>
              </w:rPr>
              <w:t>fl</w:t>
            </w:r>
            <w:r w:rsidR="003528A8">
              <w:rPr>
                <w:sz w:val="20"/>
                <w:szCs w:val="20"/>
              </w:rPr>
              <w:t>-</w:t>
            </w:r>
            <w:r w:rsidRPr="00D50E91">
              <w:rPr>
                <w:sz w:val="20"/>
                <w:szCs w:val="20"/>
              </w:rPr>
              <w:t>s1</w:t>
            </w:r>
          </w:p>
        </w:tc>
        <w:tc>
          <w:tcPr>
            <w:tcW w:w="1394" w:type="dxa"/>
            <w:gridSpan w:val="4"/>
            <w:vMerge w:val="restart"/>
            <w:tcBorders>
              <w:top w:val="single" w:sz="4" w:space="0" w:color="auto"/>
              <w:right w:val="single" w:sz="4" w:space="0" w:color="auto"/>
            </w:tcBorders>
            <w:shd w:val="clear" w:color="auto" w:fill="BFBFBF"/>
          </w:tcPr>
          <w:p w:rsidR="005B415B" w:rsidRPr="00D50E91" w:rsidDel="004C37E9" w:rsidRDefault="005B415B" w:rsidP="00B11587">
            <w:pPr>
              <w:jc w:val="center"/>
              <w:rPr>
                <w:sz w:val="20"/>
                <w:szCs w:val="20"/>
              </w:rPr>
            </w:pPr>
            <w:r w:rsidRPr="00D50E91">
              <w:rPr>
                <w:sz w:val="20"/>
                <w:szCs w:val="20"/>
              </w:rPr>
              <w:t>D</w:t>
            </w:r>
            <w:r w:rsidRPr="00D50E91">
              <w:rPr>
                <w:sz w:val="20"/>
                <w:szCs w:val="20"/>
                <w:vertAlign w:val="subscript"/>
              </w:rPr>
              <w:t>fl</w:t>
            </w:r>
            <w:r w:rsidR="003528A8">
              <w:rPr>
                <w:sz w:val="20"/>
                <w:szCs w:val="20"/>
              </w:rPr>
              <w:t>-</w:t>
            </w:r>
            <w:r w:rsidRPr="00D50E91">
              <w:rPr>
                <w:sz w:val="20"/>
                <w:szCs w:val="20"/>
              </w:rPr>
              <w:t>s1</w:t>
            </w:r>
          </w:p>
        </w:tc>
        <w:tc>
          <w:tcPr>
            <w:tcW w:w="817" w:type="dxa"/>
            <w:vMerge w:val="restart"/>
            <w:tcBorders>
              <w:top w:val="single" w:sz="4" w:space="0" w:color="auto"/>
              <w:right w:val="single" w:sz="4" w:space="0" w:color="auto"/>
            </w:tcBorders>
            <w:shd w:val="clear" w:color="auto" w:fill="BFBFBF"/>
          </w:tcPr>
          <w:p w:rsidR="005B415B" w:rsidRPr="00D50E91" w:rsidDel="004C37E9" w:rsidRDefault="005B415B" w:rsidP="00B11587">
            <w:pPr>
              <w:jc w:val="center"/>
              <w:rPr>
                <w:sz w:val="20"/>
                <w:szCs w:val="20"/>
              </w:rPr>
            </w:pPr>
            <w:r w:rsidRPr="00D50E91">
              <w:rPr>
                <w:sz w:val="20"/>
                <w:szCs w:val="20"/>
              </w:rPr>
              <w:t>C</w:t>
            </w:r>
            <w:r w:rsidRPr="00D50E91">
              <w:rPr>
                <w:sz w:val="20"/>
                <w:szCs w:val="20"/>
                <w:vertAlign w:val="subscript"/>
              </w:rPr>
              <w:t>fl</w:t>
            </w:r>
            <w:r w:rsidR="003528A8">
              <w:rPr>
                <w:sz w:val="20"/>
                <w:szCs w:val="20"/>
              </w:rPr>
              <w:t>-</w:t>
            </w:r>
            <w:r w:rsidRPr="00D50E91">
              <w:rPr>
                <w:sz w:val="20"/>
                <w:szCs w:val="20"/>
              </w:rPr>
              <w:t>s1</w:t>
            </w:r>
          </w:p>
        </w:tc>
        <w:tc>
          <w:tcPr>
            <w:tcW w:w="665" w:type="dxa"/>
            <w:vMerge w:val="restart"/>
            <w:tcBorders>
              <w:top w:val="single" w:sz="4" w:space="0" w:color="auto"/>
              <w:right w:val="single" w:sz="4" w:space="0" w:color="auto"/>
            </w:tcBorders>
          </w:tcPr>
          <w:p w:rsidR="005B415B" w:rsidRPr="00D50E91" w:rsidDel="004C37E9" w:rsidRDefault="005B415B" w:rsidP="00B11587">
            <w:pPr>
              <w:jc w:val="center"/>
              <w:rPr>
                <w:sz w:val="20"/>
                <w:szCs w:val="20"/>
              </w:rPr>
            </w:pPr>
            <w:r w:rsidRPr="00D50E91">
              <w:rPr>
                <w:sz w:val="20"/>
                <w:szCs w:val="20"/>
              </w:rPr>
              <w:t>D</w:t>
            </w:r>
            <w:r w:rsidRPr="00D50E91">
              <w:rPr>
                <w:sz w:val="20"/>
                <w:szCs w:val="20"/>
                <w:vertAlign w:val="subscript"/>
              </w:rPr>
              <w:t>fl</w:t>
            </w:r>
            <w:r w:rsidR="003528A8">
              <w:rPr>
                <w:sz w:val="20"/>
                <w:szCs w:val="20"/>
              </w:rPr>
              <w:t>-</w:t>
            </w:r>
            <w:r w:rsidRPr="00D50E91">
              <w:rPr>
                <w:sz w:val="20"/>
                <w:szCs w:val="20"/>
              </w:rPr>
              <w:t>s1</w:t>
            </w:r>
          </w:p>
        </w:tc>
        <w:tc>
          <w:tcPr>
            <w:tcW w:w="1331" w:type="dxa"/>
            <w:gridSpan w:val="2"/>
            <w:tcBorders>
              <w:top w:val="single" w:sz="4" w:space="0" w:color="auto"/>
              <w:bottom w:val="single" w:sz="4" w:space="0" w:color="auto"/>
              <w:right w:val="single" w:sz="4" w:space="0" w:color="auto"/>
            </w:tcBorders>
          </w:tcPr>
          <w:p w:rsidR="005B415B" w:rsidRPr="00D50E91" w:rsidDel="004C37E9" w:rsidRDefault="005B415B" w:rsidP="00B11587">
            <w:pPr>
              <w:jc w:val="center"/>
              <w:rPr>
                <w:sz w:val="20"/>
                <w:szCs w:val="20"/>
              </w:rPr>
            </w:pPr>
            <w:r w:rsidRPr="00D50E91">
              <w:rPr>
                <w:sz w:val="20"/>
                <w:szCs w:val="20"/>
              </w:rPr>
              <w:t>B</w:t>
            </w:r>
            <w:r w:rsidRPr="00D50E91">
              <w:rPr>
                <w:sz w:val="20"/>
                <w:szCs w:val="20"/>
                <w:vertAlign w:val="subscript"/>
              </w:rPr>
              <w:t>fl</w:t>
            </w:r>
            <w:r w:rsidR="003528A8">
              <w:rPr>
                <w:sz w:val="20"/>
                <w:szCs w:val="20"/>
              </w:rPr>
              <w:t>-</w:t>
            </w:r>
            <w:r w:rsidRPr="00D50E91">
              <w:rPr>
                <w:sz w:val="20"/>
                <w:szCs w:val="20"/>
              </w:rPr>
              <w:t>s1</w:t>
            </w:r>
          </w:p>
        </w:tc>
        <w:tc>
          <w:tcPr>
            <w:tcW w:w="1995" w:type="dxa"/>
            <w:gridSpan w:val="3"/>
            <w:tcBorders>
              <w:top w:val="single" w:sz="4" w:space="0" w:color="auto"/>
              <w:bottom w:val="single" w:sz="4" w:space="0" w:color="auto"/>
              <w:right w:val="single" w:sz="4" w:space="0" w:color="auto"/>
            </w:tcBorders>
            <w:shd w:val="clear" w:color="auto" w:fill="BFBFBF"/>
          </w:tcPr>
          <w:p w:rsidR="005B415B" w:rsidRPr="00D50E91" w:rsidDel="004C37E9" w:rsidRDefault="005B415B" w:rsidP="00B11587">
            <w:pPr>
              <w:jc w:val="center"/>
              <w:rPr>
                <w:sz w:val="20"/>
                <w:szCs w:val="20"/>
              </w:rPr>
            </w:pPr>
            <w:r w:rsidRPr="00D50E91">
              <w:rPr>
                <w:sz w:val="20"/>
                <w:szCs w:val="20"/>
              </w:rPr>
              <w:t>B</w:t>
            </w:r>
            <w:r w:rsidRPr="00D50E91">
              <w:rPr>
                <w:sz w:val="20"/>
                <w:szCs w:val="20"/>
                <w:vertAlign w:val="subscript"/>
              </w:rPr>
              <w:t>fl</w:t>
            </w:r>
            <w:r w:rsidR="003528A8">
              <w:rPr>
                <w:sz w:val="20"/>
                <w:szCs w:val="20"/>
              </w:rPr>
              <w:t>-</w:t>
            </w:r>
            <w:r w:rsidRPr="00D50E91">
              <w:rPr>
                <w:sz w:val="20"/>
                <w:szCs w:val="20"/>
              </w:rPr>
              <w:t>s1</w:t>
            </w:r>
          </w:p>
        </w:tc>
      </w:tr>
      <w:tr w:rsidR="005B415B" w:rsidRPr="00D50E91" w:rsidTr="00B11587">
        <w:tc>
          <w:tcPr>
            <w:tcW w:w="400" w:type="dxa"/>
            <w:tcBorders>
              <w:top w:val="single" w:sz="4" w:space="0" w:color="auto"/>
              <w:left w:val="single" w:sz="4" w:space="0" w:color="auto"/>
              <w:bottom w:val="single" w:sz="4" w:space="0" w:color="auto"/>
              <w:right w:val="single" w:sz="4" w:space="0" w:color="auto"/>
            </w:tcBorders>
          </w:tcPr>
          <w:p w:rsidR="005B415B" w:rsidRPr="00D50E91" w:rsidDel="004C37E9" w:rsidRDefault="003D757E" w:rsidP="00B11587">
            <w:pPr>
              <w:autoSpaceDE w:val="0"/>
              <w:autoSpaceDN w:val="0"/>
              <w:adjustRightInd w:val="0"/>
              <w:ind w:left="56" w:right="56"/>
              <w:jc w:val="center"/>
              <w:rPr>
                <w:sz w:val="20"/>
                <w:szCs w:val="20"/>
              </w:rPr>
            </w:pPr>
            <w:r w:rsidRPr="00D50E91">
              <w:rPr>
                <w:sz w:val="20"/>
                <w:szCs w:val="20"/>
              </w:rPr>
              <w:t xml:space="preserve"> </w:t>
            </w:r>
            <w:r w:rsidR="005B415B" w:rsidRPr="00D50E91">
              <w:rPr>
                <w:sz w:val="20"/>
                <w:szCs w:val="20"/>
              </w:rPr>
              <w:t>20</w:t>
            </w:r>
          </w:p>
        </w:tc>
        <w:tc>
          <w:tcPr>
            <w:tcW w:w="5880" w:type="dxa"/>
            <w:gridSpan w:val="2"/>
            <w:tcBorders>
              <w:top w:val="single" w:sz="4" w:space="0" w:color="auto"/>
              <w:left w:val="single" w:sz="4" w:space="0" w:color="auto"/>
              <w:bottom w:val="single" w:sz="4" w:space="0" w:color="auto"/>
              <w:right w:val="single" w:sz="4" w:space="0" w:color="auto"/>
            </w:tcBorders>
            <w:vAlign w:val="center"/>
          </w:tcPr>
          <w:p w:rsidR="005B415B" w:rsidRPr="00D50E91" w:rsidDel="004C37E9" w:rsidRDefault="003D757E" w:rsidP="003D757E">
            <w:pPr>
              <w:rPr>
                <w:sz w:val="20"/>
                <w:szCs w:val="20"/>
              </w:rPr>
            </w:pPr>
            <w:r w:rsidRPr="00D50E91">
              <w:rPr>
                <w:sz w:val="20"/>
                <w:szCs w:val="20"/>
              </w:rPr>
              <w:t xml:space="preserve"> M</w:t>
            </w:r>
            <w:r w:rsidR="005B415B" w:rsidRPr="00D50E91">
              <w:rPr>
                <w:sz w:val="20"/>
                <w:szCs w:val="20"/>
              </w:rPr>
              <w:t>enekülési útvonal padlóburkolata lépcsőházban</w:t>
            </w:r>
          </w:p>
        </w:tc>
        <w:tc>
          <w:tcPr>
            <w:tcW w:w="904" w:type="dxa"/>
            <w:tcBorders>
              <w:top w:val="single" w:sz="4" w:space="0" w:color="auto"/>
              <w:left w:val="single" w:sz="4" w:space="0" w:color="auto"/>
              <w:bottom w:val="single" w:sz="4" w:space="0" w:color="auto"/>
              <w:right w:val="single" w:sz="4" w:space="0" w:color="auto"/>
            </w:tcBorders>
            <w:vAlign w:val="center"/>
          </w:tcPr>
          <w:p w:rsidR="005B415B" w:rsidRPr="00D50E91" w:rsidDel="004C37E9" w:rsidRDefault="005B415B" w:rsidP="00B11587">
            <w:pPr>
              <w:autoSpaceDE w:val="0"/>
              <w:autoSpaceDN w:val="0"/>
              <w:adjustRightInd w:val="0"/>
              <w:ind w:right="56"/>
              <w:jc w:val="center"/>
              <w:rPr>
                <w:sz w:val="20"/>
                <w:szCs w:val="20"/>
              </w:rPr>
            </w:pPr>
          </w:p>
        </w:tc>
        <w:tc>
          <w:tcPr>
            <w:tcW w:w="1995" w:type="dxa"/>
            <w:gridSpan w:val="3"/>
            <w:vMerge/>
            <w:tcBorders>
              <w:bottom w:val="single" w:sz="4" w:space="0" w:color="auto"/>
              <w:right w:val="single" w:sz="4" w:space="0" w:color="auto"/>
            </w:tcBorders>
          </w:tcPr>
          <w:p w:rsidR="005B415B" w:rsidRPr="00D50E91" w:rsidDel="004C37E9" w:rsidRDefault="005B415B" w:rsidP="00B11587">
            <w:pPr>
              <w:jc w:val="center"/>
              <w:rPr>
                <w:sz w:val="20"/>
                <w:szCs w:val="20"/>
              </w:rPr>
            </w:pPr>
          </w:p>
        </w:tc>
        <w:tc>
          <w:tcPr>
            <w:tcW w:w="1394" w:type="dxa"/>
            <w:gridSpan w:val="4"/>
            <w:vMerge/>
            <w:tcBorders>
              <w:bottom w:val="single" w:sz="4" w:space="0" w:color="auto"/>
              <w:right w:val="single" w:sz="4" w:space="0" w:color="auto"/>
            </w:tcBorders>
            <w:shd w:val="clear" w:color="auto" w:fill="BFBFBF"/>
          </w:tcPr>
          <w:p w:rsidR="005B415B" w:rsidRPr="00D50E91" w:rsidDel="004C37E9" w:rsidRDefault="005B415B" w:rsidP="00B11587">
            <w:pPr>
              <w:jc w:val="center"/>
              <w:rPr>
                <w:sz w:val="20"/>
                <w:szCs w:val="20"/>
              </w:rPr>
            </w:pPr>
          </w:p>
        </w:tc>
        <w:tc>
          <w:tcPr>
            <w:tcW w:w="817" w:type="dxa"/>
            <w:vMerge/>
            <w:tcBorders>
              <w:bottom w:val="single" w:sz="4" w:space="0" w:color="auto"/>
              <w:right w:val="single" w:sz="4" w:space="0" w:color="auto"/>
            </w:tcBorders>
            <w:shd w:val="clear" w:color="auto" w:fill="BFBFBF"/>
          </w:tcPr>
          <w:p w:rsidR="005B415B" w:rsidRPr="00D50E91" w:rsidDel="004C37E9" w:rsidRDefault="005B415B" w:rsidP="00B11587">
            <w:pPr>
              <w:jc w:val="center"/>
              <w:rPr>
                <w:sz w:val="20"/>
                <w:szCs w:val="20"/>
              </w:rPr>
            </w:pPr>
          </w:p>
        </w:tc>
        <w:tc>
          <w:tcPr>
            <w:tcW w:w="665" w:type="dxa"/>
            <w:vMerge/>
            <w:tcBorders>
              <w:bottom w:val="single" w:sz="4" w:space="0" w:color="auto"/>
              <w:right w:val="single" w:sz="4" w:space="0" w:color="auto"/>
            </w:tcBorders>
          </w:tcPr>
          <w:p w:rsidR="005B415B" w:rsidRPr="00D50E91" w:rsidDel="004C37E9" w:rsidRDefault="005B415B" w:rsidP="00B11587">
            <w:pPr>
              <w:jc w:val="center"/>
              <w:rPr>
                <w:sz w:val="20"/>
                <w:szCs w:val="20"/>
              </w:rPr>
            </w:pPr>
          </w:p>
        </w:tc>
        <w:tc>
          <w:tcPr>
            <w:tcW w:w="666" w:type="dxa"/>
            <w:tcBorders>
              <w:top w:val="single" w:sz="4" w:space="0" w:color="auto"/>
              <w:bottom w:val="single" w:sz="4" w:space="0" w:color="auto"/>
              <w:right w:val="single" w:sz="4" w:space="0" w:color="auto"/>
            </w:tcBorders>
          </w:tcPr>
          <w:p w:rsidR="005B415B" w:rsidRPr="00D50E91" w:rsidDel="004C37E9" w:rsidRDefault="005B415B" w:rsidP="00B11587">
            <w:pPr>
              <w:jc w:val="center"/>
              <w:rPr>
                <w:sz w:val="20"/>
                <w:szCs w:val="20"/>
              </w:rPr>
            </w:pPr>
            <w:r w:rsidRPr="00D50E91">
              <w:rPr>
                <w:sz w:val="20"/>
                <w:szCs w:val="20"/>
              </w:rPr>
              <w:t>B</w:t>
            </w:r>
            <w:r w:rsidRPr="00D50E91">
              <w:rPr>
                <w:sz w:val="20"/>
                <w:szCs w:val="20"/>
                <w:vertAlign w:val="subscript"/>
              </w:rPr>
              <w:t>fl</w:t>
            </w:r>
            <w:r w:rsidR="003528A8">
              <w:rPr>
                <w:sz w:val="20"/>
                <w:szCs w:val="20"/>
              </w:rPr>
              <w:t>-</w:t>
            </w:r>
            <w:r w:rsidRPr="00D50E91">
              <w:rPr>
                <w:sz w:val="20"/>
                <w:szCs w:val="20"/>
              </w:rPr>
              <w:t>s1</w:t>
            </w:r>
          </w:p>
        </w:tc>
        <w:tc>
          <w:tcPr>
            <w:tcW w:w="665" w:type="dxa"/>
            <w:tcBorders>
              <w:top w:val="single" w:sz="4" w:space="0" w:color="auto"/>
              <w:bottom w:val="single" w:sz="4" w:space="0" w:color="auto"/>
              <w:right w:val="single" w:sz="4" w:space="0" w:color="auto"/>
            </w:tcBorders>
          </w:tcPr>
          <w:p w:rsidR="005B415B" w:rsidRPr="00D50E91" w:rsidDel="004C37E9" w:rsidRDefault="005B415B" w:rsidP="00B11587">
            <w:pPr>
              <w:jc w:val="center"/>
              <w:rPr>
                <w:sz w:val="20"/>
                <w:szCs w:val="20"/>
              </w:rPr>
            </w:pPr>
            <w:r w:rsidRPr="00D50E91">
              <w:rPr>
                <w:sz w:val="20"/>
                <w:szCs w:val="20"/>
              </w:rPr>
              <w:t>A2</w:t>
            </w:r>
            <w:r w:rsidRPr="00D50E91">
              <w:rPr>
                <w:sz w:val="20"/>
                <w:szCs w:val="20"/>
                <w:vertAlign w:val="subscript"/>
              </w:rPr>
              <w:t>fl</w:t>
            </w:r>
            <w:r w:rsidR="003528A8">
              <w:rPr>
                <w:sz w:val="20"/>
                <w:szCs w:val="20"/>
              </w:rPr>
              <w:t>-</w:t>
            </w:r>
            <w:r w:rsidRPr="00D50E91">
              <w:rPr>
                <w:sz w:val="20"/>
                <w:szCs w:val="20"/>
              </w:rPr>
              <w:t>s1</w:t>
            </w:r>
          </w:p>
        </w:tc>
        <w:tc>
          <w:tcPr>
            <w:tcW w:w="665" w:type="dxa"/>
            <w:tcBorders>
              <w:top w:val="single" w:sz="4" w:space="0" w:color="auto"/>
              <w:bottom w:val="single" w:sz="4" w:space="0" w:color="auto"/>
              <w:right w:val="single" w:sz="4" w:space="0" w:color="auto"/>
            </w:tcBorders>
            <w:shd w:val="clear" w:color="auto" w:fill="BFBFBF"/>
          </w:tcPr>
          <w:p w:rsidR="005B415B" w:rsidRPr="00D50E91" w:rsidDel="004C37E9" w:rsidRDefault="005B415B" w:rsidP="00B11587">
            <w:pPr>
              <w:jc w:val="center"/>
              <w:rPr>
                <w:sz w:val="20"/>
                <w:szCs w:val="20"/>
              </w:rPr>
            </w:pPr>
            <w:r w:rsidRPr="00D50E91">
              <w:rPr>
                <w:sz w:val="20"/>
                <w:szCs w:val="20"/>
              </w:rPr>
              <w:t>B</w:t>
            </w:r>
            <w:r w:rsidRPr="00D50E91">
              <w:rPr>
                <w:sz w:val="20"/>
                <w:szCs w:val="20"/>
                <w:vertAlign w:val="subscript"/>
              </w:rPr>
              <w:t>fl</w:t>
            </w:r>
            <w:r w:rsidR="003528A8">
              <w:rPr>
                <w:sz w:val="20"/>
                <w:szCs w:val="20"/>
              </w:rPr>
              <w:t>-</w:t>
            </w:r>
            <w:r w:rsidRPr="00D50E91">
              <w:rPr>
                <w:sz w:val="20"/>
                <w:szCs w:val="20"/>
              </w:rPr>
              <w:t>s1</w:t>
            </w:r>
          </w:p>
        </w:tc>
        <w:tc>
          <w:tcPr>
            <w:tcW w:w="1330" w:type="dxa"/>
            <w:gridSpan w:val="2"/>
            <w:tcBorders>
              <w:top w:val="single" w:sz="4" w:space="0" w:color="auto"/>
              <w:bottom w:val="single" w:sz="4" w:space="0" w:color="auto"/>
              <w:right w:val="single" w:sz="4" w:space="0" w:color="auto"/>
            </w:tcBorders>
            <w:shd w:val="clear" w:color="auto" w:fill="BFBFBF"/>
          </w:tcPr>
          <w:p w:rsidR="005B415B" w:rsidRPr="00D50E91" w:rsidDel="004C37E9" w:rsidRDefault="005B415B" w:rsidP="00B11587">
            <w:pPr>
              <w:jc w:val="center"/>
              <w:rPr>
                <w:sz w:val="20"/>
                <w:szCs w:val="20"/>
              </w:rPr>
            </w:pPr>
            <w:r w:rsidRPr="00D50E91">
              <w:rPr>
                <w:sz w:val="20"/>
                <w:szCs w:val="20"/>
              </w:rPr>
              <w:t>A2</w:t>
            </w:r>
            <w:r w:rsidRPr="00D50E91">
              <w:rPr>
                <w:sz w:val="20"/>
                <w:szCs w:val="20"/>
                <w:vertAlign w:val="subscript"/>
              </w:rPr>
              <w:t>fl</w:t>
            </w:r>
            <w:r w:rsidR="003528A8">
              <w:rPr>
                <w:sz w:val="20"/>
                <w:szCs w:val="20"/>
              </w:rPr>
              <w:t>-</w:t>
            </w:r>
            <w:r w:rsidRPr="00D50E91">
              <w:rPr>
                <w:sz w:val="20"/>
                <w:szCs w:val="20"/>
              </w:rPr>
              <w:t>s1</w:t>
            </w:r>
          </w:p>
        </w:tc>
      </w:tr>
      <w:tr w:rsidR="005B415B" w:rsidRPr="00D50E91" w:rsidTr="00B11587">
        <w:tc>
          <w:tcPr>
            <w:tcW w:w="400" w:type="dxa"/>
            <w:tcBorders>
              <w:top w:val="single" w:sz="4" w:space="0" w:color="auto"/>
              <w:left w:val="single" w:sz="4" w:space="0" w:color="auto"/>
              <w:bottom w:val="single" w:sz="4" w:space="0" w:color="auto"/>
              <w:right w:val="single" w:sz="4" w:space="0" w:color="auto"/>
            </w:tcBorders>
          </w:tcPr>
          <w:p w:rsidR="005B415B" w:rsidRPr="00D50E91" w:rsidDel="004C37E9" w:rsidRDefault="003D757E" w:rsidP="00B11587">
            <w:pPr>
              <w:autoSpaceDE w:val="0"/>
              <w:autoSpaceDN w:val="0"/>
              <w:adjustRightInd w:val="0"/>
              <w:ind w:left="56" w:right="56"/>
              <w:jc w:val="center"/>
              <w:rPr>
                <w:sz w:val="20"/>
                <w:szCs w:val="20"/>
              </w:rPr>
            </w:pPr>
            <w:r w:rsidRPr="00D50E91">
              <w:rPr>
                <w:sz w:val="20"/>
                <w:szCs w:val="20"/>
              </w:rPr>
              <w:t xml:space="preserve"> </w:t>
            </w:r>
            <w:r w:rsidR="005B415B" w:rsidRPr="00D50E91">
              <w:rPr>
                <w:sz w:val="20"/>
                <w:szCs w:val="20"/>
              </w:rPr>
              <w:t>21</w:t>
            </w:r>
          </w:p>
        </w:tc>
        <w:tc>
          <w:tcPr>
            <w:tcW w:w="5880" w:type="dxa"/>
            <w:gridSpan w:val="2"/>
            <w:tcBorders>
              <w:top w:val="single" w:sz="4" w:space="0" w:color="auto"/>
              <w:left w:val="single" w:sz="4" w:space="0" w:color="auto"/>
              <w:bottom w:val="single" w:sz="4" w:space="0" w:color="auto"/>
              <w:right w:val="single" w:sz="4" w:space="0" w:color="auto"/>
            </w:tcBorders>
            <w:vAlign w:val="center"/>
          </w:tcPr>
          <w:p w:rsidR="005B415B" w:rsidRPr="00D50E91" w:rsidDel="004C37E9" w:rsidRDefault="003D757E" w:rsidP="003D757E">
            <w:pPr>
              <w:rPr>
                <w:sz w:val="20"/>
                <w:szCs w:val="20"/>
              </w:rPr>
            </w:pPr>
            <w:r w:rsidRPr="00D50E91">
              <w:rPr>
                <w:sz w:val="20"/>
                <w:szCs w:val="20"/>
              </w:rPr>
              <w:t xml:space="preserve"> M</w:t>
            </w:r>
            <w:r w:rsidR="005B415B" w:rsidRPr="00D50E91">
              <w:rPr>
                <w:sz w:val="20"/>
                <w:szCs w:val="20"/>
              </w:rPr>
              <w:t>enekülési útvonal falburkolata, álmennyezete, mennyezetburkolata</w:t>
            </w:r>
          </w:p>
        </w:tc>
        <w:tc>
          <w:tcPr>
            <w:tcW w:w="904" w:type="dxa"/>
            <w:tcBorders>
              <w:top w:val="single" w:sz="4" w:space="0" w:color="auto"/>
              <w:left w:val="single" w:sz="4" w:space="0" w:color="auto"/>
              <w:bottom w:val="single" w:sz="4" w:space="0" w:color="auto"/>
              <w:right w:val="single" w:sz="4" w:space="0" w:color="auto"/>
            </w:tcBorders>
            <w:vAlign w:val="center"/>
          </w:tcPr>
          <w:p w:rsidR="005B415B" w:rsidRPr="00D50E91" w:rsidDel="004C37E9" w:rsidRDefault="005B415B" w:rsidP="00B11587">
            <w:pPr>
              <w:autoSpaceDE w:val="0"/>
              <w:autoSpaceDN w:val="0"/>
              <w:adjustRightInd w:val="0"/>
              <w:ind w:right="56"/>
              <w:jc w:val="center"/>
              <w:rPr>
                <w:sz w:val="20"/>
                <w:szCs w:val="20"/>
              </w:rPr>
            </w:pPr>
          </w:p>
        </w:tc>
        <w:tc>
          <w:tcPr>
            <w:tcW w:w="1995" w:type="dxa"/>
            <w:gridSpan w:val="3"/>
            <w:tcBorders>
              <w:top w:val="single" w:sz="4" w:space="0" w:color="auto"/>
              <w:bottom w:val="single" w:sz="4" w:space="0" w:color="auto"/>
              <w:right w:val="single" w:sz="4" w:space="0" w:color="auto"/>
            </w:tcBorders>
          </w:tcPr>
          <w:p w:rsidR="005B415B" w:rsidRPr="00D50E91" w:rsidDel="004C37E9" w:rsidRDefault="005B415B" w:rsidP="00B11587">
            <w:pPr>
              <w:jc w:val="center"/>
              <w:rPr>
                <w:sz w:val="20"/>
                <w:szCs w:val="20"/>
              </w:rPr>
            </w:pPr>
            <w:r w:rsidRPr="00D50E91">
              <w:rPr>
                <w:sz w:val="20"/>
                <w:szCs w:val="20"/>
              </w:rPr>
              <w:t>D</w:t>
            </w:r>
            <w:r w:rsidR="003528A8">
              <w:rPr>
                <w:sz w:val="20"/>
                <w:szCs w:val="20"/>
              </w:rPr>
              <w:t>-</w:t>
            </w:r>
            <w:r w:rsidRPr="00D50E91">
              <w:rPr>
                <w:sz w:val="20"/>
                <w:szCs w:val="20"/>
              </w:rPr>
              <w:t>s1, d0</w:t>
            </w:r>
          </w:p>
        </w:tc>
        <w:tc>
          <w:tcPr>
            <w:tcW w:w="1394" w:type="dxa"/>
            <w:gridSpan w:val="4"/>
            <w:tcBorders>
              <w:top w:val="single" w:sz="4" w:space="0" w:color="auto"/>
              <w:bottom w:val="single" w:sz="4" w:space="0" w:color="auto"/>
              <w:right w:val="single" w:sz="4" w:space="0" w:color="auto"/>
            </w:tcBorders>
            <w:shd w:val="clear" w:color="auto" w:fill="BFBFBF"/>
          </w:tcPr>
          <w:p w:rsidR="005B415B" w:rsidRPr="00D50E91" w:rsidDel="004C37E9" w:rsidRDefault="005B415B" w:rsidP="00B11587">
            <w:pPr>
              <w:jc w:val="center"/>
              <w:rPr>
                <w:sz w:val="20"/>
                <w:szCs w:val="20"/>
              </w:rPr>
            </w:pPr>
            <w:r w:rsidRPr="00D50E91">
              <w:rPr>
                <w:sz w:val="20"/>
                <w:szCs w:val="20"/>
              </w:rPr>
              <w:t>D</w:t>
            </w:r>
            <w:r w:rsidR="003528A8">
              <w:rPr>
                <w:sz w:val="20"/>
                <w:szCs w:val="20"/>
              </w:rPr>
              <w:t>-</w:t>
            </w:r>
            <w:r w:rsidRPr="00D50E91">
              <w:rPr>
                <w:sz w:val="20"/>
                <w:szCs w:val="20"/>
              </w:rPr>
              <w:t>s1, d0</w:t>
            </w:r>
          </w:p>
        </w:tc>
        <w:tc>
          <w:tcPr>
            <w:tcW w:w="817" w:type="dxa"/>
            <w:tcBorders>
              <w:top w:val="single" w:sz="4" w:space="0" w:color="auto"/>
              <w:bottom w:val="single" w:sz="4" w:space="0" w:color="auto"/>
              <w:right w:val="single" w:sz="4" w:space="0" w:color="auto"/>
            </w:tcBorders>
            <w:shd w:val="clear" w:color="auto" w:fill="BFBFBF"/>
          </w:tcPr>
          <w:p w:rsidR="005B415B" w:rsidRPr="00D50E91" w:rsidDel="004C37E9" w:rsidRDefault="005B415B" w:rsidP="00B11587">
            <w:pPr>
              <w:jc w:val="center"/>
              <w:rPr>
                <w:sz w:val="20"/>
                <w:szCs w:val="20"/>
              </w:rPr>
            </w:pPr>
            <w:r w:rsidRPr="00D50E91">
              <w:rPr>
                <w:sz w:val="18"/>
                <w:szCs w:val="20"/>
              </w:rPr>
              <w:t>C</w:t>
            </w:r>
            <w:r w:rsidR="003528A8">
              <w:rPr>
                <w:sz w:val="18"/>
                <w:szCs w:val="20"/>
              </w:rPr>
              <w:t>-</w:t>
            </w:r>
            <w:r w:rsidRPr="00D50E91">
              <w:rPr>
                <w:sz w:val="18"/>
                <w:szCs w:val="20"/>
              </w:rPr>
              <w:t>s1, d0</w:t>
            </w:r>
          </w:p>
        </w:tc>
        <w:tc>
          <w:tcPr>
            <w:tcW w:w="665" w:type="dxa"/>
            <w:tcBorders>
              <w:top w:val="single" w:sz="4" w:space="0" w:color="auto"/>
              <w:bottom w:val="single" w:sz="4" w:space="0" w:color="auto"/>
              <w:right w:val="single" w:sz="4" w:space="0" w:color="auto"/>
            </w:tcBorders>
          </w:tcPr>
          <w:p w:rsidR="005B415B" w:rsidRPr="00D50E91" w:rsidDel="004C37E9" w:rsidRDefault="005B415B" w:rsidP="00B11587">
            <w:pPr>
              <w:jc w:val="center"/>
              <w:rPr>
                <w:sz w:val="18"/>
                <w:szCs w:val="20"/>
              </w:rPr>
            </w:pPr>
            <w:r w:rsidRPr="00D50E91">
              <w:rPr>
                <w:sz w:val="18"/>
                <w:szCs w:val="20"/>
              </w:rPr>
              <w:t>D</w:t>
            </w:r>
            <w:r w:rsidR="003528A8">
              <w:rPr>
                <w:sz w:val="18"/>
                <w:szCs w:val="20"/>
              </w:rPr>
              <w:t>-</w:t>
            </w:r>
            <w:r w:rsidRPr="00D50E91">
              <w:rPr>
                <w:sz w:val="18"/>
                <w:szCs w:val="20"/>
              </w:rPr>
              <w:t>s1, d0</w:t>
            </w:r>
          </w:p>
        </w:tc>
        <w:tc>
          <w:tcPr>
            <w:tcW w:w="666" w:type="dxa"/>
            <w:tcBorders>
              <w:top w:val="single" w:sz="4" w:space="0" w:color="auto"/>
              <w:bottom w:val="single" w:sz="4" w:space="0" w:color="auto"/>
              <w:right w:val="single" w:sz="4" w:space="0" w:color="auto"/>
            </w:tcBorders>
          </w:tcPr>
          <w:p w:rsidR="005B415B" w:rsidRPr="00D50E91" w:rsidDel="004C37E9" w:rsidRDefault="005B415B" w:rsidP="00B11587">
            <w:pPr>
              <w:jc w:val="center"/>
              <w:rPr>
                <w:sz w:val="20"/>
                <w:szCs w:val="20"/>
              </w:rPr>
            </w:pPr>
            <w:r w:rsidRPr="00D50E91">
              <w:rPr>
                <w:sz w:val="18"/>
                <w:szCs w:val="20"/>
              </w:rPr>
              <w:t>B</w:t>
            </w:r>
            <w:r w:rsidR="003528A8">
              <w:rPr>
                <w:sz w:val="18"/>
                <w:szCs w:val="20"/>
              </w:rPr>
              <w:t>-</w:t>
            </w:r>
            <w:r w:rsidRPr="00D50E91">
              <w:rPr>
                <w:sz w:val="18"/>
                <w:szCs w:val="20"/>
              </w:rPr>
              <w:t>s1, d0</w:t>
            </w:r>
          </w:p>
        </w:tc>
        <w:tc>
          <w:tcPr>
            <w:tcW w:w="665" w:type="dxa"/>
            <w:tcBorders>
              <w:top w:val="single" w:sz="4" w:space="0" w:color="auto"/>
              <w:bottom w:val="single" w:sz="4" w:space="0" w:color="auto"/>
              <w:right w:val="single" w:sz="4" w:space="0" w:color="auto"/>
            </w:tcBorders>
          </w:tcPr>
          <w:p w:rsidR="005B415B" w:rsidRPr="00D50E91" w:rsidDel="004C37E9" w:rsidRDefault="005B415B" w:rsidP="00B11587">
            <w:pPr>
              <w:jc w:val="center"/>
              <w:rPr>
                <w:sz w:val="20"/>
                <w:szCs w:val="20"/>
              </w:rPr>
            </w:pPr>
            <w:r w:rsidRPr="00D50E91">
              <w:rPr>
                <w:sz w:val="20"/>
                <w:szCs w:val="20"/>
              </w:rPr>
              <w:t>A2</w:t>
            </w:r>
          </w:p>
        </w:tc>
        <w:tc>
          <w:tcPr>
            <w:tcW w:w="665" w:type="dxa"/>
            <w:tcBorders>
              <w:top w:val="single" w:sz="4" w:space="0" w:color="auto"/>
              <w:bottom w:val="single" w:sz="4" w:space="0" w:color="auto"/>
              <w:right w:val="single" w:sz="4" w:space="0" w:color="auto"/>
            </w:tcBorders>
            <w:shd w:val="clear" w:color="auto" w:fill="BFBFBF"/>
          </w:tcPr>
          <w:p w:rsidR="005B415B" w:rsidRPr="00D50E91" w:rsidDel="004C37E9" w:rsidRDefault="005B415B" w:rsidP="00B11587">
            <w:pPr>
              <w:jc w:val="center"/>
              <w:rPr>
                <w:sz w:val="20"/>
                <w:szCs w:val="20"/>
              </w:rPr>
            </w:pPr>
            <w:r w:rsidRPr="00D50E91">
              <w:rPr>
                <w:sz w:val="18"/>
                <w:szCs w:val="20"/>
              </w:rPr>
              <w:t>B</w:t>
            </w:r>
            <w:r w:rsidR="003528A8">
              <w:rPr>
                <w:sz w:val="18"/>
                <w:szCs w:val="20"/>
              </w:rPr>
              <w:t>-</w:t>
            </w:r>
            <w:r w:rsidRPr="00D50E91">
              <w:rPr>
                <w:sz w:val="18"/>
                <w:szCs w:val="20"/>
              </w:rPr>
              <w:t>s1, d0</w:t>
            </w:r>
          </w:p>
        </w:tc>
        <w:tc>
          <w:tcPr>
            <w:tcW w:w="1330" w:type="dxa"/>
            <w:gridSpan w:val="2"/>
            <w:tcBorders>
              <w:top w:val="single" w:sz="4" w:space="0" w:color="auto"/>
              <w:bottom w:val="single" w:sz="4" w:space="0" w:color="auto"/>
              <w:right w:val="single" w:sz="4" w:space="0" w:color="auto"/>
            </w:tcBorders>
            <w:shd w:val="clear" w:color="auto" w:fill="BFBFBF"/>
          </w:tcPr>
          <w:p w:rsidR="005B415B" w:rsidRPr="00D50E91" w:rsidDel="004C37E9" w:rsidRDefault="005B415B" w:rsidP="00B11587">
            <w:pPr>
              <w:jc w:val="center"/>
              <w:rPr>
                <w:sz w:val="20"/>
                <w:szCs w:val="20"/>
              </w:rPr>
            </w:pPr>
            <w:r w:rsidRPr="00D50E91">
              <w:rPr>
                <w:sz w:val="20"/>
                <w:szCs w:val="20"/>
              </w:rPr>
              <w:t>A2</w:t>
            </w:r>
          </w:p>
        </w:tc>
      </w:tr>
      <w:tr w:rsidR="005B415B" w:rsidRPr="00D50E91" w:rsidTr="00B11587">
        <w:tc>
          <w:tcPr>
            <w:tcW w:w="400" w:type="dxa"/>
            <w:tcBorders>
              <w:top w:val="single" w:sz="4" w:space="0" w:color="auto"/>
              <w:left w:val="single" w:sz="4" w:space="0" w:color="auto"/>
              <w:bottom w:val="single" w:sz="4" w:space="0" w:color="auto"/>
              <w:right w:val="single" w:sz="4" w:space="0" w:color="auto"/>
            </w:tcBorders>
          </w:tcPr>
          <w:p w:rsidR="005B415B" w:rsidRPr="00D50E91" w:rsidDel="004C37E9" w:rsidRDefault="003D757E" w:rsidP="00B11587">
            <w:pPr>
              <w:autoSpaceDE w:val="0"/>
              <w:autoSpaceDN w:val="0"/>
              <w:adjustRightInd w:val="0"/>
              <w:ind w:left="56" w:right="56"/>
              <w:jc w:val="center"/>
              <w:rPr>
                <w:sz w:val="20"/>
                <w:szCs w:val="20"/>
              </w:rPr>
            </w:pPr>
            <w:r w:rsidRPr="00D50E91">
              <w:rPr>
                <w:sz w:val="20"/>
                <w:szCs w:val="20"/>
              </w:rPr>
              <w:t xml:space="preserve"> </w:t>
            </w:r>
            <w:r w:rsidR="005B415B" w:rsidRPr="00D50E91">
              <w:rPr>
                <w:sz w:val="20"/>
                <w:szCs w:val="20"/>
              </w:rPr>
              <w:t>22</w:t>
            </w:r>
          </w:p>
        </w:tc>
        <w:tc>
          <w:tcPr>
            <w:tcW w:w="5880" w:type="dxa"/>
            <w:gridSpan w:val="2"/>
            <w:tcBorders>
              <w:top w:val="single" w:sz="4" w:space="0" w:color="auto"/>
              <w:left w:val="single" w:sz="4" w:space="0" w:color="auto"/>
              <w:bottom w:val="single" w:sz="4" w:space="0" w:color="auto"/>
              <w:right w:val="single" w:sz="4" w:space="0" w:color="auto"/>
            </w:tcBorders>
            <w:vAlign w:val="center"/>
          </w:tcPr>
          <w:p w:rsidR="005B415B" w:rsidRPr="00D50E91" w:rsidDel="004C37E9" w:rsidRDefault="003D757E" w:rsidP="003D757E">
            <w:pPr>
              <w:rPr>
                <w:sz w:val="20"/>
                <w:szCs w:val="20"/>
              </w:rPr>
            </w:pPr>
            <w:r w:rsidRPr="00D50E91">
              <w:rPr>
                <w:sz w:val="20"/>
                <w:szCs w:val="20"/>
              </w:rPr>
              <w:t xml:space="preserve"> M</w:t>
            </w:r>
            <w:r w:rsidR="005B415B" w:rsidRPr="00D50E91">
              <w:rPr>
                <w:sz w:val="20"/>
                <w:szCs w:val="20"/>
              </w:rPr>
              <w:t>enekülési útvonalon alkalmazott hő</w:t>
            </w:r>
            <w:r w:rsidR="003528A8">
              <w:rPr>
                <w:sz w:val="20"/>
                <w:szCs w:val="20"/>
              </w:rPr>
              <w:t>-</w:t>
            </w:r>
            <w:r w:rsidR="005B415B" w:rsidRPr="00D50E91">
              <w:rPr>
                <w:sz w:val="20"/>
                <w:szCs w:val="20"/>
              </w:rPr>
              <w:t xml:space="preserve"> és hangszigetelés, burkolat nélkül vagy burkolattal</w:t>
            </w:r>
          </w:p>
        </w:tc>
        <w:tc>
          <w:tcPr>
            <w:tcW w:w="904" w:type="dxa"/>
            <w:tcBorders>
              <w:top w:val="single" w:sz="4" w:space="0" w:color="auto"/>
              <w:left w:val="single" w:sz="4" w:space="0" w:color="auto"/>
              <w:bottom w:val="single" w:sz="4" w:space="0" w:color="auto"/>
              <w:right w:val="single" w:sz="4" w:space="0" w:color="auto"/>
            </w:tcBorders>
            <w:vAlign w:val="center"/>
          </w:tcPr>
          <w:p w:rsidR="005B415B" w:rsidRPr="00D50E91" w:rsidDel="004C37E9" w:rsidRDefault="005B415B" w:rsidP="00B11587">
            <w:pPr>
              <w:autoSpaceDE w:val="0"/>
              <w:autoSpaceDN w:val="0"/>
              <w:adjustRightInd w:val="0"/>
              <w:ind w:right="56"/>
              <w:jc w:val="center"/>
              <w:rPr>
                <w:sz w:val="20"/>
                <w:szCs w:val="20"/>
              </w:rPr>
            </w:pPr>
          </w:p>
        </w:tc>
        <w:tc>
          <w:tcPr>
            <w:tcW w:w="1995" w:type="dxa"/>
            <w:gridSpan w:val="3"/>
            <w:tcBorders>
              <w:top w:val="single" w:sz="4" w:space="0" w:color="auto"/>
              <w:bottom w:val="single" w:sz="4" w:space="0" w:color="auto"/>
              <w:right w:val="single" w:sz="4" w:space="0" w:color="auto"/>
            </w:tcBorders>
          </w:tcPr>
          <w:p w:rsidR="005B415B" w:rsidRPr="00D50E91" w:rsidDel="004C37E9" w:rsidRDefault="005B415B" w:rsidP="00B11587">
            <w:pPr>
              <w:jc w:val="center"/>
              <w:rPr>
                <w:sz w:val="20"/>
                <w:szCs w:val="20"/>
              </w:rPr>
            </w:pPr>
            <w:r w:rsidRPr="00D50E91">
              <w:rPr>
                <w:sz w:val="18"/>
                <w:szCs w:val="20"/>
              </w:rPr>
              <w:t>B</w:t>
            </w:r>
            <w:r w:rsidR="003528A8">
              <w:rPr>
                <w:sz w:val="18"/>
                <w:szCs w:val="20"/>
              </w:rPr>
              <w:t>-</w:t>
            </w:r>
            <w:r w:rsidRPr="00D50E91">
              <w:rPr>
                <w:sz w:val="18"/>
                <w:szCs w:val="20"/>
              </w:rPr>
              <w:t>s1, d0</w:t>
            </w:r>
          </w:p>
        </w:tc>
        <w:tc>
          <w:tcPr>
            <w:tcW w:w="1366" w:type="dxa"/>
            <w:gridSpan w:val="2"/>
            <w:tcBorders>
              <w:top w:val="single" w:sz="4" w:space="0" w:color="auto"/>
              <w:bottom w:val="single" w:sz="4" w:space="0" w:color="auto"/>
              <w:right w:val="single" w:sz="4" w:space="0" w:color="auto"/>
            </w:tcBorders>
            <w:shd w:val="clear" w:color="auto" w:fill="BFBFBF"/>
          </w:tcPr>
          <w:p w:rsidR="005B415B" w:rsidRPr="00D50E91" w:rsidDel="004C37E9" w:rsidRDefault="005B415B" w:rsidP="00B11587">
            <w:pPr>
              <w:autoSpaceDE w:val="0"/>
              <w:autoSpaceDN w:val="0"/>
              <w:adjustRightInd w:val="0"/>
              <w:ind w:right="56"/>
              <w:jc w:val="center"/>
              <w:rPr>
                <w:sz w:val="20"/>
                <w:szCs w:val="20"/>
              </w:rPr>
            </w:pPr>
            <w:r w:rsidRPr="00D50E91">
              <w:rPr>
                <w:sz w:val="18"/>
                <w:szCs w:val="20"/>
              </w:rPr>
              <w:t>B</w:t>
            </w:r>
            <w:r w:rsidR="003528A8">
              <w:rPr>
                <w:sz w:val="18"/>
                <w:szCs w:val="20"/>
              </w:rPr>
              <w:t>-</w:t>
            </w:r>
            <w:r w:rsidRPr="00D50E91">
              <w:rPr>
                <w:sz w:val="18"/>
                <w:szCs w:val="20"/>
              </w:rPr>
              <w:t>s1, d0</w:t>
            </w:r>
          </w:p>
        </w:tc>
        <w:tc>
          <w:tcPr>
            <w:tcW w:w="845" w:type="dxa"/>
            <w:gridSpan w:val="3"/>
            <w:tcBorders>
              <w:top w:val="single" w:sz="4" w:space="0" w:color="auto"/>
              <w:bottom w:val="single" w:sz="4" w:space="0" w:color="auto"/>
              <w:right w:val="single" w:sz="4" w:space="0" w:color="auto"/>
            </w:tcBorders>
            <w:shd w:val="clear" w:color="auto" w:fill="BFBFBF"/>
          </w:tcPr>
          <w:p w:rsidR="005B415B" w:rsidRPr="00D50E91" w:rsidDel="004C37E9" w:rsidRDefault="005B415B" w:rsidP="00B11587">
            <w:pPr>
              <w:jc w:val="center"/>
              <w:rPr>
                <w:sz w:val="20"/>
                <w:szCs w:val="20"/>
              </w:rPr>
            </w:pPr>
            <w:r w:rsidRPr="00D50E91">
              <w:rPr>
                <w:sz w:val="18"/>
                <w:szCs w:val="20"/>
              </w:rPr>
              <w:t>A2</w:t>
            </w:r>
            <w:r w:rsidR="003528A8">
              <w:rPr>
                <w:sz w:val="18"/>
                <w:szCs w:val="20"/>
              </w:rPr>
              <w:t>-</w:t>
            </w:r>
            <w:r w:rsidRPr="00D50E91">
              <w:rPr>
                <w:sz w:val="18"/>
                <w:szCs w:val="20"/>
              </w:rPr>
              <w:t>s1, d0</w:t>
            </w:r>
          </w:p>
        </w:tc>
        <w:tc>
          <w:tcPr>
            <w:tcW w:w="1996" w:type="dxa"/>
            <w:gridSpan w:val="3"/>
            <w:tcBorders>
              <w:top w:val="single" w:sz="4" w:space="0" w:color="auto"/>
              <w:bottom w:val="single" w:sz="4" w:space="0" w:color="auto"/>
              <w:right w:val="single" w:sz="4" w:space="0" w:color="auto"/>
            </w:tcBorders>
          </w:tcPr>
          <w:p w:rsidR="005B415B" w:rsidRPr="00D50E91" w:rsidDel="004C37E9" w:rsidRDefault="005B415B" w:rsidP="00B11587">
            <w:pPr>
              <w:jc w:val="center"/>
              <w:rPr>
                <w:sz w:val="20"/>
                <w:szCs w:val="20"/>
              </w:rPr>
            </w:pPr>
            <w:r w:rsidRPr="00D50E91">
              <w:rPr>
                <w:sz w:val="18"/>
                <w:szCs w:val="20"/>
              </w:rPr>
              <w:t>A2</w:t>
            </w:r>
            <w:r w:rsidR="003528A8">
              <w:rPr>
                <w:sz w:val="18"/>
                <w:szCs w:val="20"/>
              </w:rPr>
              <w:t>-</w:t>
            </w:r>
            <w:r w:rsidRPr="00D50E91">
              <w:rPr>
                <w:sz w:val="18"/>
                <w:szCs w:val="20"/>
              </w:rPr>
              <w:t>s1, d0</w:t>
            </w:r>
          </w:p>
        </w:tc>
        <w:tc>
          <w:tcPr>
            <w:tcW w:w="1995" w:type="dxa"/>
            <w:gridSpan w:val="3"/>
            <w:tcBorders>
              <w:top w:val="single" w:sz="4" w:space="0" w:color="auto"/>
              <w:bottom w:val="single" w:sz="4" w:space="0" w:color="auto"/>
              <w:right w:val="single" w:sz="4" w:space="0" w:color="auto"/>
            </w:tcBorders>
            <w:shd w:val="clear" w:color="auto" w:fill="BFBFBF"/>
          </w:tcPr>
          <w:p w:rsidR="005B415B" w:rsidRPr="00D50E91" w:rsidDel="004C37E9" w:rsidRDefault="005B415B" w:rsidP="00B11587">
            <w:pPr>
              <w:jc w:val="center"/>
              <w:rPr>
                <w:sz w:val="20"/>
                <w:szCs w:val="20"/>
              </w:rPr>
            </w:pPr>
            <w:r w:rsidRPr="00D50E91">
              <w:rPr>
                <w:sz w:val="18"/>
                <w:szCs w:val="20"/>
              </w:rPr>
              <w:t>A2</w:t>
            </w:r>
            <w:r w:rsidR="003528A8">
              <w:rPr>
                <w:sz w:val="18"/>
                <w:szCs w:val="20"/>
              </w:rPr>
              <w:t>-</w:t>
            </w:r>
            <w:r w:rsidRPr="00D50E91">
              <w:rPr>
                <w:sz w:val="18"/>
                <w:szCs w:val="20"/>
              </w:rPr>
              <w:t>s1, d0</w:t>
            </w:r>
          </w:p>
        </w:tc>
      </w:tr>
      <w:tr w:rsidR="005B415B" w:rsidRPr="00D50E91" w:rsidTr="00B11587">
        <w:tc>
          <w:tcPr>
            <w:tcW w:w="400" w:type="dxa"/>
            <w:tcBorders>
              <w:top w:val="single" w:sz="4" w:space="0" w:color="auto"/>
              <w:left w:val="single" w:sz="4" w:space="0" w:color="auto"/>
              <w:bottom w:val="single" w:sz="4" w:space="0" w:color="auto"/>
              <w:right w:val="single" w:sz="4" w:space="0" w:color="auto"/>
            </w:tcBorders>
          </w:tcPr>
          <w:p w:rsidR="005B415B" w:rsidRPr="00D50E91" w:rsidDel="004C37E9" w:rsidRDefault="003D757E" w:rsidP="00B11587">
            <w:pPr>
              <w:autoSpaceDE w:val="0"/>
              <w:autoSpaceDN w:val="0"/>
              <w:adjustRightInd w:val="0"/>
              <w:ind w:left="56" w:right="56"/>
              <w:jc w:val="center"/>
              <w:rPr>
                <w:sz w:val="20"/>
                <w:szCs w:val="20"/>
              </w:rPr>
            </w:pPr>
            <w:r w:rsidRPr="00D50E91">
              <w:rPr>
                <w:sz w:val="20"/>
                <w:szCs w:val="20"/>
              </w:rPr>
              <w:t xml:space="preserve"> </w:t>
            </w:r>
            <w:r w:rsidR="005B415B" w:rsidRPr="00D50E91">
              <w:rPr>
                <w:sz w:val="20"/>
                <w:szCs w:val="20"/>
              </w:rPr>
              <w:t>23</w:t>
            </w:r>
          </w:p>
        </w:tc>
        <w:tc>
          <w:tcPr>
            <w:tcW w:w="5880" w:type="dxa"/>
            <w:gridSpan w:val="2"/>
            <w:tcBorders>
              <w:top w:val="single" w:sz="4" w:space="0" w:color="auto"/>
              <w:left w:val="single" w:sz="4" w:space="0" w:color="auto"/>
              <w:bottom w:val="single" w:sz="4" w:space="0" w:color="auto"/>
              <w:right w:val="single" w:sz="4" w:space="0" w:color="auto"/>
            </w:tcBorders>
            <w:vAlign w:val="center"/>
          </w:tcPr>
          <w:p w:rsidR="005B415B" w:rsidRPr="00D50E91" w:rsidDel="004C37E9" w:rsidRDefault="003D757E" w:rsidP="003D757E">
            <w:pPr>
              <w:rPr>
                <w:sz w:val="20"/>
                <w:szCs w:val="20"/>
              </w:rPr>
            </w:pPr>
            <w:r w:rsidRPr="00D50E91">
              <w:rPr>
                <w:sz w:val="20"/>
                <w:szCs w:val="20"/>
              </w:rPr>
              <w:t xml:space="preserve"> M</w:t>
            </w:r>
            <w:r w:rsidR="005B415B" w:rsidRPr="00D50E91">
              <w:rPr>
                <w:sz w:val="20"/>
                <w:szCs w:val="20"/>
              </w:rPr>
              <w:t>enekülési útvonal álpadlója</w:t>
            </w:r>
          </w:p>
        </w:tc>
        <w:tc>
          <w:tcPr>
            <w:tcW w:w="904" w:type="dxa"/>
            <w:tcBorders>
              <w:top w:val="single" w:sz="4" w:space="0" w:color="auto"/>
              <w:left w:val="single" w:sz="4" w:space="0" w:color="auto"/>
              <w:bottom w:val="single" w:sz="4" w:space="0" w:color="auto"/>
              <w:right w:val="single" w:sz="4" w:space="0" w:color="auto"/>
            </w:tcBorders>
            <w:vAlign w:val="center"/>
          </w:tcPr>
          <w:p w:rsidR="005B415B" w:rsidRPr="00D50E91" w:rsidDel="004C37E9" w:rsidRDefault="005B415B" w:rsidP="00B11587">
            <w:pPr>
              <w:autoSpaceDE w:val="0"/>
              <w:autoSpaceDN w:val="0"/>
              <w:adjustRightInd w:val="0"/>
              <w:ind w:right="56"/>
              <w:jc w:val="center"/>
              <w:rPr>
                <w:sz w:val="20"/>
                <w:szCs w:val="20"/>
              </w:rPr>
            </w:pPr>
            <w:r w:rsidRPr="00D50E91">
              <w:rPr>
                <w:sz w:val="20"/>
                <w:szCs w:val="20"/>
              </w:rPr>
              <w:t>REI</w:t>
            </w:r>
          </w:p>
        </w:tc>
        <w:tc>
          <w:tcPr>
            <w:tcW w:w="1995" w:type="dxa"/>
            <w:gridSpan w:val="3"/>
            <w:tcBorders>
              <w:top w:val="single" w:sz="4" w:space="0" w:color="auto"/>
              <w:bottom w:val="single" w:sz="4" w:space="0" w:color="auto"/>
              <w:right w:val="single" w:sz="4" w:space="0" w:color="auto"/>
            </w:tcBorders>
          </w:tcPr>
          <w:p w:rsidR="005B415B" w:rsidRPr="00D50E91" w:rsidRDefault="005B415B" w:rsidP="00B11587">
            <w:pPr>
              <w:jc w:val="center"/>
              <w:rPr>
                <w:sz w:val="20"/>
                <w:szCs w:val="20"/>
              </w:rPr>
            </w:pPr>
            <w:r w:rsidRPr="00D50E91">
              <w:rPr>
                <w:sz w:val="20"/>
                <w:szCs w:val="20"/>
              </w:rPr>
              <w:t>15</w:t>
            </w:r>
          </w:p>
          <w:p w:rsidR="005B415B" w:rsidRPr="00D50E91" w:rsidDel="004C37E9" w:rsidRDefault="005B415B" w:rsidP="00B11587">
            <w:pPr>
              <w:jc w:val="center"/>
              <w:rPr>
                <w:sz w:val="20"/>
                <w:szCs w:val="20"/>
              </w:rPr>
            </w:pPr>
            <w:r w:rsidRPr="00D50E91">
              <w:rPr>
                <w:sz w:val="20"/>
                <w:szCs w:val="20"/>
              </w:rPr>
              <w:t>D</w:t>
            </w:r>
          </w:p>
        </w:tc>
        <w:tc>
          <w:tcPr>
            <w:tcW w:w="1366" w:type="dxa"/>
            <w:gridSpan w:val="2"/>
            <w:tcBorders>
              <w:top w:val="single" w:sz="4" w:space="0" w:color="auto"/>
              <w:bottom w:val="single" w:sz="4" w:space="0" w:color="auto"/>
              <w:right w:val="single" w:sz="4" w:space="0" w:color="auto"/>
            </w:tcBorders>
            <w:shd w:val="clear" w:color="auto" w:fill="BFBFBF"/>
          </w:tcPr>
          <w:p w:rsidR="005B415B" w:rsidRPr="00D50E91" w:rsidRDefault="005B415B" w:rsidP="00B11587">
            <w:pPr>
              <w:autoSpaceDE w:val="0"/>
              <w:autoSpaceDN w:val="0"/>
              <w:adjustRightInd w:val="0"/>
              <w:ind w:right="56"/>
              <w:jc w:val="center"/>
              <w:rPr>
                <w:sz w:val="20"/>
                <w:szCs w:val="20"/>
              </w:rPr>
            </w:pPr>
            <w:r w:rsidRPr="00D50E91">
              <w:rPr>
                <w:sz w:val="20"/>
                <w:szCs w:val="20"/>
              </w:rPr>
              <w:t>15</w:t>
            </w:r>
          </w:p>
          <w:p w:rsidR="005B415B" w:rsidRPr="00D50E91" w:rsidDel="004C37E9" w:rsidRDefault="005B415B" w:rsidP="00B11587">
            <w:pPr>
              <w:jc w:val="center"/>
              <w:rPr>
                <w:sz w:val="20"/>
                <w:szCs w:val="20"/>
              </w:rPr>
            </w:pPr>
            <w:r w:rsidRPr="00D50E91">
              <w:rPr>
                <w:sz w:val="20"/>
                <w:szCs w:val="20"/>
              </w:rPr>
              <w:t>D</w:t>
            </w:r>
          </w:p>
        </w:tc>
        <w:tc>
          <w:tcPr>
            <w:tcW w:w="845" w:type="dxa"/>
            <w:gridSpan w:val="3"/>
            <w:tcBorders>
              <w:top w:val="single" w:sz="4" w:space="0" w:color="auto"/>
              <w:bottom w:val="single" w:sz="4" w:space="0" w:color="auto"/>
              <w:right w:val="single" w:sz="4" w:space="0" w:color="auto"/>
            </w:tcBorders>
            <w:shd w:val="clear" w:color="auto" w:fill="BFBFBF"/>
          </w:tcPr>
          <w:p w:rsidR="005B415B" w:rsidRPr="00D50E91" w:rsidRDefault="005B415B" w:rsidP="00B11587">
            <w:pPr>
              <w:jc w:val="center"/>
              <w:rPr>
                <w:sz w:val="20"/>
                <w:szCs w:val="20"/>
              </w:rPr>
            </w:pPr>
            <w:r w:rsidRPr="00D50E91">
              <w:rPr>
                <w:sz w:val="20"/>
                <w:szCs w:val="20"/>
              </w:rPr>
              <w:t>30</w:t>
            </w:r>
          </w:p>
          <w:p w:rsidR="005B415B" w:rsidRPr="00D50E91" w:rsidDel="004C37E9" w:rsidRDefault="005B415B" w:rsidP="00B11587">
            <w:pPr>
              <w:jc w:val="center"/>
              <w:rPr>
                <w:sz w:val="20"/>
                <w:szCs w:val="20"/>
              </w:rPr>
            </w:pPr>
            <w:r w:rsidRPr="00D50E91">
              <w:rPr>
                <w:sz w:val="20"/>
                <w:szCs w:val="20"/>
              </w:rPr>
              <w:t>C</w:t>
            </w:r>
          </w:p>
        </w:tc>
        <w:tc>
          <w:tcPr>
            <w:tcW w:w="665" w:type="dxa"/>
            <w:tcBorders>
              <w:top w:val="single" w:sz="4" w:space="0" w:color="auto"/>
              <w:bottom w:val="single" w:sz="4" w:space="0" w:color="auto"/>
              <w:right w:val="single" w:sz="4" w:space="0" w:color="auto"/>
            </w:tcBorders>
          </w:tcPr>
          <w:p w:rsidR="005B415B" w:rsidRPr="00D50E91" w:rsidRDefault="005B415B" w:rsidP="00B11587">
            <w:pPr>
              <w:jc w:val="center"/>
              <w:rPr>
                <w:sz w:val="20"/>
                <w:szCs w:val="20"/>
              </w:rPr>
            </w:pPr>
            <w:r w:rsidRPr="00D50E91">
              <w:rPr>
                <w:sz w:val="20"/>
                <w:szCs w:val="20"/>
              </w:rPr>
              <w:t>30</w:t>
            </w:r>
          </w:p>
          <w:p w:rsidR="005B415B" w:rsidRPr="00D50E91" w:rsidDel="004C37E9" w:rsidRDefault="005B415B" w:rsidP="00B11587">
            <w:pPr>
              <w:jc w:val="center"/>
              <w:rPr>
                <w:sz w:val="20"/>
                <w:szCs w:val="20"/>
              </w:rPr>
            </w:pPr>
            <w:r w:rsidRPr="00D50E91">
              <w:rPr>
                <w:sz w:val="20"/>
                <w:szCs w:val="20"/>
              </w:rPr>
              <w:t>D</w:t>
            </w:r>
          </w:p>
        </w:tc>
        <w:tc>
          <w:tcPr>
            <w:tcW w:w="666" w:type="dxa"/>
            <w:tcBorders>
              <w:top w:val="single" w:sz="4" w:space="0" w:color="auto"/>
              <w:bottom w:val="single" w:sz="4" w:space="0" w:color="auto"/>
              <w:right w:val="single" w:sz="4" w:space="0" w:color="auto"/>
            </w:tcBorders>
          </w:tcPr>
          <w:p w:rsidR="005B415B" w:rsidRPr="00D50E91" w:rsidRDefault="005B415B" w:rsidP="00B11587">
            <w:pPr>
              <w:jc w:val="center"/>
              <w:rPr>
                <w:sz w:val="20"/>
                <w:szCs w:val="20"/>
              </w:rPr>
            </w:pPr>
            <w:r w:rsidRPr="00D50E91">
              <w:rPr>
                <w:sz w:val="20"/>
                <w:szCs w:val="20"/>
              </w:rPr>
              <w:t>30</w:t>
            </w:r>
          </w:p>
          <w:p w:rsidR="005B415B" w:rsidRPr="00D50E91" w:rsidDel="004C37E9" w:rsidRDefault="005B415B" w:rsidP="00B11587">
            <w:pPr>
              <w:jc w:val="center"/>
              <w:rPr>
                <w:sz w:val="20"/>
                <w:szCs w:val="20"/>
              </w:rPr>
            </w:pPr>
            <w:r w:rsidRPr="00D50E91">
              <w:rPr>
                <w:sz w:val="20"/>
                <w:szCs w:val="20"/>
              </w:rPr>
              <w:t>A2</w:t>
            </w:r>
          </w:p>
        </w:tc>
        <w:tc>
          <w:tcPr>
            <w:tcW w:w="665" w:type="dxa"/>
            <w:tcBorders>
              <w:top w:val="single" w:sz="4" w:space="0" w:color="auto"/>
              <w:bottom w:val="single" w:sz="4" w:space="0" w:color="auto"/>
              <w:right w:val="single" w:sz="4" w:space="0" w:color="auto"/>
            </w:tcBorders>
          </w:tcPr>
          <w:p w:rsidR="005B415B" w:rsidRPr="00D50E91" w:rsidRDefault="005B415B" w:rsidP="00B11587">
            <w:pPr>
              <w:jc w:val="center"/>
              <w:rPr>
                <w:sz w:val="20"/>
                <w:szCs w:val="20"/>
              </w:rPr>
            </w:pPr>
            <w:r w:rsidRPr="00D50E91">
              <w:rPr>
                <w:sz w:val="20"/>
                <w:szCs w:val="20"/>
              </w:rPr>
              <w:t>60</w:t>
            </w:r>
          </w:p>
          <w:p w:rsidR="005B415B" w:rsidRPr="00D50E91" w:rsidDel="004C37E9" w:rsidRDefault="005B415B" w:rsidP="00B11587">
            <w:pPr>
              <w:jc w:val="center"/>
              <w:rPr>
                <w:sz w:val="20"/>
                <w:szCs w:val="20"/>
              </w:rPr>
            </w:pPr>
            <w:r w:rsidRPr="00D50E91">
              <w:rPr>
                <w:sz w:val="20"/>
                <w:szCs w:val="20"/>
              </w:rPr>
              <w:t>A2</w:t>
            </w:r>
          </w:p>
        </w:tc>
        <w:tc>
          <w:tcPr>
            <w:tcW w:w="1330" w:type="dxa"/>
            <w:gridSpan w:val="2"/>
            <w:tcBorders>
              <w:top w:val="single" w:sz="4" w:space="0" w:color="auto"/>
              <w:bottom w:val="single" w:sz="4" w:space="0" w:color="auto"/>
              <w:right w:val="single" w:sz="4" w:space="0" w:color="auto"/>
            </w:tcBorders>
            <w:shd w:val="clear" w:color="auto" w:fill="BFBFBF"/>
          </w:tcPr>
          <w:p w:rsidR="005B415B" w:rsidRPr="00D50E91" w:rsidRDefault="005B415B" w:rsidP="00B11587">
            <w:pPr>
              <w:jc w:val="center"/>
              <w:rPr>
                <w:sz w:val="20"/>
                <w:szCs w:val="20"/>
              </w:rPr>
            </w:pPr>
            <w:r w:rsidRPr="00D50E91">
              <w:rPr>
                <w:sz w:val="20"/>
                <w:szCs w:val="20"/>
              </w:rPr>
              <w:t>60</w:t>
            </w:r>
          </w:p>
          <w:p w:rsidR="005B415B" w:rsidRPr="00D50E91" w:rsidDel="004C37E9" w:rsidRDefault="005B415B" w:rsidP="00B11587">
            <w:pPr>
              <w:jc w:val="center"/>
              <w:rPr>
                <w:sz w:val="20"/>
                <w:szCs w:val="20"/>
              </w:rPr>
            </w:pPr>
            <w:r w:rsidRPr="00D50E91">
              <w:rPr>
                <w:sz w:val="20"/>
                <w:szCs w:val="20"/>
              </w:rPr>
              <w:t>A2</w:t>
            </w:r>
          </w:p>
        </w:tc>
        <w:tc>
          <w:tcPr>
            <w:tcW w:w="665" w:type="dxa"/>
            <w:tcBorders>
              <w:top w:val="single" w:sz="4" w:space="0" w:color="auto"/>
              <w:bottom w:val="single" w:sz="4" w:space="0" w:color="auto"/>
              <w:right w:val="single" w:sz="4" w:space="0" w:color="auto"/>
            </w:tcBorders>
            <w:shd w:val="clear" w:color="auto" w:fill="BFBFBF"/>
          </w:tcPr>
          <w:p w:rsidR="005B415B" w:rsidRPr="00D50E91" w:rsidRDefault="005B415B" w:rsidP="00B11587">
            <w:pPr>
              <w:jc w:val="center"/>
              <w:rPr>
                <w:sz w:val="20"/>
                <w:szCs w:val="20"/>
              </w:rPr>
            </w:pPr>
            <w:r w:rsidRPr="00D50E91">
              <w:rPr>
                <w:sz w:val="20"/>
                <w:szCs w:val="20"/>
              </w:rPr>
              <w:t>90</w:t>
            </w:r>
          </w:p>
          <w:p w:rsidR="005B415B" w:rsidRPr="00D50E91" w:rsidDel="004C37E9" w:rsidRDefault="005B415B" w:rsidP="00B11587">
            <w:pPr>
              <w:jc w:val="center"/>
              <w:rPr>
                <w:sz w:val="20"/>
                <w:szCs w:val="20"/>
              </w:rPr>
            </w:pPr>
            <w:r w:rsidRPr="00D50E91">
              <w:rPr>
                <w:sz w:val="20"/>
                <w:szCs w:val="20"/>
              </w:rPr>
              <w:t>A2</w:t>
            </w:r>
          </w:p>
        </w:tc>
      </w:tr>
    </w:tbl>
    <w:p w:rsidR="005B415B" w:rsidRPr="00D50E91" w:rsidRDefault="005B415B" w:rsidP="00595B18">
      <w:pPr>
        <w:jc w:val="both"/>
      </w:pPr>
    </w:p>
    <w:p w:rsidR="005B415B" w:rsidRPr="00D50E91" w:rsidRDefault="005B415B">
      <w:pPr>
        <w:spacing w:after="200" w:line="276" w:lineRule="auto"/>
      </w:pPr>
      <w:r w:rsidRPr="00D50E91">
        <w:br w:type="page"/>
      </w:r>
    </w:p>
    <w:p w:rsidR="005B415B" w:rsidRPr="00D50E91" w:rsidRDefault="005B415B" w:rsidP="00CE0726">
      <w:pPr>
        <w:autoSpaceDE w:val="0"/>
        <w:autoSpaceDN w:val="0"/>
        <w:adjustRightInd w:val="0"/>
        <w:jc w:val="right"/>
        <w:rPr>
          <w:i/>
        </w:rPr>
      </w:pPr>
      <w:r w:rsidRPr="00D50E91">
        <w:rPr>
          <w:i/>
        </w:rPr>
        <w:lastRenderedPageBreak/>
        <w:t>3. melléklet a …./2018. (……) BM rendelethez</w:t>
      </w:r>
    </w:p>
    <w:p w:rsidR="005B415B" w:rsidRPr="00D50E91" w:rsidRDefault="005B415B" w:rsidP="00CE0726">
      <w:pPr>
        <w:jc w:val="both"/>
      </w:pPr>
    </w:p>
    <w:p w:rsidR="005B415B" w:rsidRPr="00D50E91" w:rsidRDefault="005B415B" w:rsidP="00CE0726">
      <w:pPr>
        <w:pStyle w:val="Szvegtrzs"/>
        <w:rPr>
          <w:i/>
        </w:rPr>
      </w:pPr>
      <w:r w:rsidRPr="00D50E91">
        <w:rPr>
          <w:i/>
        </w:rPr>
        <w:t>3 melléklet az 54/2014. (XII. 5.) BM rendelethez</w:t>
      </w:r>
    </w:p>
    <w:p w:rsidR="005B415B" w:rsidRPr="00D50E91" w:rsidRDefault="005B415B" w:rsidP="00CE0726">
      <w:pPr>
        <w:jc w:val="both"/>
      </w:pPr>
    </w:p>
    <w:p w:rsidR="005B415B" w:rsidRPr="00D50E91" w:rsidRDefault="005B415B" w:rsidP="00CE0726">
      <w:pPr>
        <w:jc w:val="both"/>
        <w:rPr>
          <w:b/>
          <w:sz w:val="20"/>
          <w:szCs w:val="20"/>
        </w:rPr>
      </w:pPr>
      <w:r w:rsidRPr="00D50E91">
        <w:rPr>
          <w:b/>
          <w:sz w:val="20"/>
          <w:szCs w:val="20"/>
        </w:rPr>
        <w:t>1. táblázat, a Tűztávolság alcímhez</w:t>
      </w:r>
    </w:p>
    <w:p w:rsidR="005B415B" w:rsidRPr="00D50E91" w:rsidRDefault="005B415B" w:rsidP="00595B18">
      <w:pPr>
        <w:jc w:val="both"/>
      </w:pPr>
    </w:p>
    <w:tbl>
      <w:tblPr>
        <w:tblW w:w="0" w:type="auto"/>
        <w:tblInd w:w="5" w:type="dxa"/>
        <w:tblLayout w:type="fixed"/>
        <w:tblCellMar>
          <w:left w:w="0" w:type="dxa"/>
          <w:right w:w="0" w:type="dxa"/>
        </w:tblCellMar>
        <w:tblLook w:val="0000" w:firstRow="0" w:lastRow="0" w:firstColumn="0" w:lastColumn="0" w:noHBand="0" w:noVBand="0"/>
      </w:tblPr>
      <w:tblGrid>
        <w:gridCol w:w="562"/>
        <w:gridCol w:w="1560"/>
        <w:gridCol w:w="1984"/>
        <w:gridCol w:w="1898"/>
        <w:gridCol w:w="1814"/>
        <w:gridCol w:w="1814"/>
      </w:tblGrid>
      <w:tr w:rsidR="005B415B" w:rsidRPr="00D50E91" w:rsidTr="00C65880">
        <w:tc>
          <w:tcPr>
            <w:tcW w:w="56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A</w:t>
            </w:r>
          </w:p>
        </w:tc>
        <w:tc>
          <w:tcPr>
            <w:tcW w:w="1984"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B</w:t>
            </w:r>
          </w:p>
        </w:tc>
        <w:tc>
          <w:tcPr>
            <w:tcW w:w="1898"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C</w:t>
            </w:r>
          </w:p>
        </w:tc>
        <w:tc>
          <w:tcPr>
            <w:tcW w:w="1814"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D</w:t>
            </w:r>
          </w:p>
        </w:tc>
        <w:tc>
          <w:tcPr>
            <w:tcW w:w="1814" w:type="dxa"/>
            <w:tcBorders>
              <w:top w:val="single" w:sz="4" w:space="0" w:color="auto"/>
              <w:left w:val="single" w:sz="4" w:space="0" w:color="auto"/>
              <w:bottom w:val="single" w:sz="4" w:space="0" w:color="auto"/>
              <w:right w:val="single" w:sz="4" w:space="0" w:color="auto"/>
            </w:tcBorders>
          </w:tcPr>
          <w:p w:rsidR="005B415B" w:rsidRPr="00D50E91" w:rsidRDefault="005B415B" w:rsidP="00925027">
            <w:pPr>
              <w:autoSpaceDE w:val="0"/>
              <w:autoSpaceDN w:val="0"/>
              <w:adjustRightInd w:val="0"/>
              <w:ind w:left="56" w:right="56"/>
              <w:jc w:val="center"/>
              <w:rPr>
                <w:sz w:val="20"/>
                <w:szCs w:val="20"/>
              </w:rPr>
            </w:pPr>
            <w:r w:rsidRPr="00D50E91">
              <w:rPr>
                <w:sz w:val="20"/>
                <w:szCs w:val="20"/>
              </w:rPr>
              <w:t xml:space="preserve"> </w:t>
            </w:r>
            <w:r w:rsidR="00925027" w:rsidRPr="00D50E91">
              <w:rPr>
                <w:sz w:val="20"/>
                <w:szCs w:val="20"/>
              </w:rPr>
              <w:t>E</w:t>
            </w:r>
          </w:p>
        </w:tc>
      </w:tr>
      <w:tr w:rsidR="005B415B" w:rsidRPr="00D50E91" w:rsidTr="00C65880">
        <w:tc>
          <w:tcPr>
            <w:tcW w:w="56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w:t>
            </w:r>
          </w:p>
        </w:tc>
        <w:tc>
          <w:tcPr>
            <w:tcW w:w="1560" w:type="dxa"/>
            <w:tcBorders>
              <w:top w:val="single" w:sz="4" w:space="0" w:color="auto"/>
              <w:left w:val="single" w:sz="4" w:space="0" w:color="auto"/>
              <w:bottom w:val="nil"/>
              <w:right w:val="single" w:sz="4" w:space="0" w:color="auto"/>
            </w:tcBorders>
          </w:tcPr>
          <w:p w:rsidR="005B415B" w:rsidRPr="00D50E91" w:rsidRDefault="005B415B" w:rsidP="00C65880">
            <w:pPr>
              <w:autoSpaceDE w:val="0"/>
              <w:autoSpaceDN w:val="0"/>
              <w:adjustRightInd w:val="0"/>
              <w:ind w:left="56" w:right="56"/>
              <w:jc w:val="center"/>
              <w:rPr>
                <w:b/>
                <w:sz w:val="20"/>
                <w:szCs w:val="20"/>
              </w:rPr>
            </w:pPr>
            <w:r w:rsidRPr="00D50E91">
              <w:rPr>
                <w:b/>
                <w:sz w:val="20"/>
                <w:szCs w:val="20"/>
              </w:rPr>
              <w:t xml:space="preserve"> A épület mértékadó</w:t>
            </w:r>
          </w:p>
        </w:tc>
        <w:tc>
          <w:tcPr>
            <w:tcW w:w="7510" w:type="dxa"/>
            <w:gridSpan w:val="4"/>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b/>
                <w:sz w:val="20"/>
                <w:szCs w:val="20"/>
              </w:rPr>
            </w:pPr>
            <w:r w:rsidRPr="00D50E91">
              <w:rPr>
                <w:b/>
                <w:sz w:val="20"/>
                <w:szCs w:val="20"/>
              </w:rPr>
              <w:t xml:space="preserve"> A és B épületek közötti tűztávolság (m), ha B épület mértékadó kockázati osztálya</w:t>
            </w:r>
          </w:p>
        </w:tc>
      </w:tr>
      <w:tr w:rsidR="005B415B" w:rsidRPr="00D50E91" w:rsidTr="00C65880">
        <w:tc>
          <w:tcPr>
            <w:tcW w:w="56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2</w:t>
            </w:r>
          </w:p>
        </w:tc>
        <w:tc>
          <w:tcPr>
            <w:tcW w:w="1560" w:type="dxa"/>
            <w:tcBorders>
              <w:top w:val="nil"/>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b/>
                <w:sz w:val="20"/>
                <w:szCs w:val="20"/>
              </w:rPr>
            </w:pPr>
            <w:r w:rsidRPr="00D50E91">
              <w:rPr>
                <w:b/>
                <w:sz w:val="20"/>
                <w:szCs w:val="20"/>
              </w:rPr>
              <w:t xml:space="preserve"> kockázati osztálya</w:t>
            </w:r>
          </w:p>
        </w:tc>
        <w:tc>
          <w:tcPr>
            <w:tcW w:w="1984"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b/>
                <w:sz w:val="20"/>
                <w:szCs w:val="20"/>
              </w:rPr>
            </w:pPr>
            <w:r w:rsidRPr="00D50E91">
              <w:rPr>
                <w:b/>
                <w:sz w:val="20"/>
                <w:szCs w:val="20"/>
              </w:rPr>
              <w:t xml:space="preserve"> NAK</w:t>
            </w:r>
          </w:p>
        </w:tc>
        <w:tc>
          <w:tcPr>
            <w:tcW w:w="1898"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b/>
                <w:sz w:val="20"/>
                <w:szCs w:val="20"/>
              </w:rPr>
            </w:pPr>
            <w:r w:rsidRPr="00D50E91">
              <w:rPr>
                <w:b/>
                <w:sz w:val="20"/>
                <w:szCs w:val="20"/>
              </w:rPr>
              <w:t xml:space="preserve"> AK</w:t>
            </w:r>
          </w:p>
        </w:tc>
        <w:tc>
          <w:tcPr>
            <w:tcW w:w="1814"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b/>
                <w:sz w:val="20"/>
                <w:szCs w:val="20"/>
              </w:rPr>
            </w:pPr>
            <w:r w:rsidRPr="00D50E91">
              <w:rPr>
                <w:b/>
                <w:sz w:val="20"/>
                <w:szCs w:val="20"/>
              </w:rPr>
              <w:t xml:space="preserve"> KK</w:t>
            </w:r>
          </w:p>
        </w:tc>
        <w:tc>
          <w:tcPr>
            <w:tcW w:w="1814"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b/>
                <w:sz w:val="20"/>
                <w:szCs w:val="20"/>
              </w:rPr>
            </w:pPr>
            <w:r w:rsidRPr="00D50E91">
              <w:rPr>
                <w:b/>
                <w:sz w:val="20"/>
                <w:szCs w:val="20"/>
              </w:rPr>
              <w:t xml:space="preserve"> MK</w:t>
            </w:r>
          </w:p>
        </w:tc>
      </w:tr>
      <w:tr w:rsidR="005B415B" w:rsidRPr="00D50E91" w:rsidTr="00C65880">
        <w:tc>
          <w:tcPr>
            <w:tcW w:w="56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3</w:t>
            </w:r>
          </w:p>
        </w:tc>
        <w:tc>
          <w:tcPr>
            <w:tcW w:w="156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NAK</w:t>
            </w:r>
          </w:p>
        </w:tc>
        <w:tc>
          <w:tcPr>
            <w:tcW w:w="1984"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3</w:t>
            </w:r>
          </w:p>
        </w:tc>
        <w:tc>
          <w:tcPr>
            <w:tcW w:w="1898"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5</w:t>
            </w:r>
          </w:p>
        </w:tc>
        <w:tc>
          <w:tcPr>
            <w:tcW w:w="1814"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6</w:t>
            </w:r>
          </w:p>
        </w:tc>
        <w:tc>
          <w:tcPr>
            <w:tcW w:w="1814"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7</w:t>
            </w:r>
          </w:p>
        </w:tc>
      </w:tr>
      <w:tr w:rsidR="005B415B" w:rsidRPr="00D50E91" w:rsidTr="00C65880">
        <w:tc>
          <w:tcPr>
            <w:tcW w:w="56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4</w:t>
            </w:r>
          </w:p>
        </w:tc>
        <w:tc>
          <w:tcPr>
            <w:tcW w:w="156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AK</w:t>
            </w:r>
          </w:p>
        </w:tc>
        <w:tc>
          <w:tcPr>
            <w:tcW w:w="1984"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5</w:t>
            </w:r>
          </w:p>
        </w:tc>
        <w:tc>
          <w:tcPr>
            <w:tcW w:w="1898"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6</w:t>
            </w:r>
          </w:p>
        </w:tc>
        <w:tc>
          <w:tcPr>
            <w:tcW w:w="1814"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7</w:t>
            </w:r>
          </w:p>
        </w:tc>
        <w:tc>
          <w:tcPr>
            <w:tcW w:w="1814"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8</w:t>
            </w:r>
          </w:p>
        </w:tc>
      </w:tr>
      <w:tr w:rsidR="005B415B" w:rsidRPr="00D50E91" w:rsidTr="00C65880">
        <w:tc>
          <w:tcPr>
            <w:tcW w:w="56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5</w:t>
            </w:r>
          </w:p>
        </w:tc>
        <w:tc>
          <w:tcPr>
            <w:tcW w:w="156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KK</w:t>
            </w:r>
          </w:p>
        </w:tc>
        <w:tc>
          <w:tcPr>
            <w:tcW w:w="1984"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6</w:t>
            </w:r>
          </w:p>
        </w:tc>
        <w:tc>
          <w:tcPr>
            <w:tcW w:w="1898"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7</w:t>
            </w:r>
          </w:p>
        </w:tc>
        <w:tc>
          <w:tcPr>
            <w:tcW w:w="1814"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8</w:t>
            </w:r>
          </w:p>
        </w:tc>
        <w:tc>
          <w:tcPr>
            <w:tcW w:w="1814"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9</w:t>
            </w:r>
          </w:p>
        </w:tc>
      </w:tr>
      <w:tr w:rsidR="005B415B" w:rsidRPr="00D50E91" w:rsidTr="00C65880">
        <w:tc>
          <w:tcPr>
            <w:tcW w:w="56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6</w:t>
            </w:r>
          </w:p>
        </w:tc>
        <w:tc>
          <w:tcPr>
            <w:tcW w:w="156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MK</w:t>
            </w:r>
          </w:p>
        </w:tc>
        <w:tc>
          <w:tcPr>
            <w:tcW w:w="1984"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7</w:t>
            </w:r>
          </w:p>
        </w:tc>
        <w:tc>
          <w:tcPr>
            <w:tcW w:w="1898"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8</w:t>
            </w:r>
          </w:p>
        </w:tc>
        <w:tc>
          <w:tcPr>
            <w:tcW w:w="1814"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9</w:t>
            </w:r>
          </w:p>
        </w:tc>
        <w:tc>
          <w:tcPr>
            <w:tcW w:w="1814"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10</w:t>
            </w:r>
          </w:p>
        </w:tc>
      </w:tr>
    </w:tbl>
    <w:p w:rsidR="005B415B" w:rsidRPr="00D50E91" w:rsidRDefault="005B415B" w:rsidP="00595B18">
      <w:pPr>
        <w:jc w:val="both"/>
      </w:pPr>
    </w:p>
    <w:p w:rsidR="005B415B" w:rsidRPr="00D50E91" w:rsidRDefault="005B415B" w:rsidP="00595B18">
      <w:pPr>
        <w:jc w:val="both"/>
      </w:pPr>
    </w:p>
    <w:p w:rsidR="005B415B" w:rsidRPr="00D50E91" w:rsidRDefault="005B415B" w:rsidP="00CE0726">
      <w:pPr>
        <w:pStyle w:val="Kpalrs"/>
      </w:pPr>
      <w:r w:rsidRPr="00D50E91">
        <w:t>2. táblázat, a Tűztávolság alcímhez</w:t>
      </w:r>
    </w:p>
    <w:p w:rsidR="005B415B" w:rsidRPr="00D50E91" w:rsidRDefault="005B415B" w:rsidP="00595B18">
      <w:pPr>
        <w:jc w:val="both"/>
      </w:pPr>
    </w:p>
    <w:tbl>
      <w:tblPr>
        <w:tblW w:w="0" w:type="auto"/>
        <w:tblInd w:w="5" w:type="dxa"/>
        <w:tblLayout w:type="fixed"/>
        <w:tblCellMar>
          <w:left w:w="0" w:type="dxa"/>
          <w:right w:w="0" w:type="dxa"/>
        </w:tblCellMar>
        <w:tblLook w:val="0000" w:firstRow="0" w:lastRow="0" w:firstColumn="0" w:lastColumn="0" w:noHBand="0" w:noVBand="0"/>
      </w:tblPr>
      <w:tblGrid>
        <w:gridCol w:w="562"/>
        <w:gridCol w:w="6236"/>
        <w:gridCol w:w="1700"/>
        <w:gridCol w:w="1702"/>
        <w:gridCol w:w="1700"/>
        <w:gridCol w:w="1702"/>
      </w:tblGrid>
      <w:tr w:rsidR="005B415B" w:rsidRPr="00D50E91" w:rsidTr="00C65880">
        <w:tc>
          <w:tcPr>
            <w:tcW w:w="56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rPr>
                <w:sz w:val="20"/>
                <w:szCs w:val="20"/>
              </w:rPr>
            </w:pPr>
          </w:p>
        </w:tc>
        <w:tc>
          <w:tcPr>
            <w:tcW w:w="6236"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A</w:t>
            </w:r>
          </w:p>
        </w:tc>
        <w:tc>
          <w:tcPr>
            <w:tcW w:w="170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B</w:t>
            </w:r>
          </w:p>
        </w:tc>
        <w:tc>
          <w:tcPr>
            <w:tcW w:w="170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C</w:t>
            </w:r>
          </w:p>
        </w:tc>
        <w:tc>
          <w:tcPr>
            <w:tcW w:w="170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D</w:t>
            </w:r>
          </w:p>
        </w:tc>
        <w:tc>
          <w:tcPr>
            <w:tcW w:w="170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E</w:t>
            </w:r>
          </w:p>
        </w:tc>
      </w:tr>
      <w:tr w:rsidR="005B415B" w:rsidRPr="00D50E91" w:rsidTr="00C65880">
        <w:tc>
          <w:tcPr>
            <w:tcW w:w="56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w:t>
            </w:r>
          </w:p>
        </w:tc>
        <w:tc>
          <w:tcPr>
            <w:tcW w:w="6236" w:type="dxa"/>
            <w:tcBorders>
              <w:top w:val="single" w:sz="4" w:space="0" w:color="auto"/>
              <w:left w:val="single" w:sz="4" w:space="0" w:color="auto"/>
              <w:bottom w:val="nil"/>
              <w:right w:val="single" w:sz="4" w:space="0" w:color="auto"/>
            </w:tcBorders>
          </w:tcPr>
          <w:p w:rsidR="005B415B" w:rsidRPr="00D50E91" w:rsidRDefault="005B415B" w:rsidP="00E651AC">
            <w:pPr>
              <w:autoSpaceDE w:val="0"/>
              <w:autoSpaceDN w:val="0"/>
              <w:adjustRightInd w:val="0"/>
              <w:ind w:left="56" w:right="56"/>
              <w:jc w:val="center"/>
              <w:rPr>
                <w:b/>
                <w:sz w:val="20"/>
                <w:szCs w:val="20"/>
              </w:rPr>
            </w:pPr>
            <w:r w:rsidRPr="00D50E91">
              <w:rPr>
                <w:b/>
                <w:sz w:val="20"/>
                <w:szCs w:val="20"/>
              </w:rPr>
              <w:t xml:space="preserve">  </w:t>
            </w:r>
            <w:r w:rsidRPr="00D50E91">
              <w:rPr>
                <w:b/>
                <w:sz w:val="20"/>
                <w:szCs w:val="20"/>
              </w:rPr>
              <w:br/>
            </w:r>
            <w:r w:rsidR="00E651AC" w:rsidRPr="00D50E91">
              <w:rPr>
                <w:b/>
                <w:sz w:val="20"/>
                <w:szCs w:val="20"/>
              </w:rPr>
              <w:t>A</w:t>
            </w:r>
            <w:r w:rsidRPr="00D50E91">
              <w:rPr>
                <w:b/>
                <w:sz w:val="20"/>
                <w:szCs w:val="20"/>
              </w:rPr>
              <w:t xml:space="preserve"> tárolási egységben tárolt anyag jellege, tűzveszélyességi jellemzői</w:t>
            </w:r>
          </w:p>
        </w:tc>
        <w:tc>
          <w:tcPr>
            <w:tcW w:w="6804" w:type="dxa"/>
            <w:gridSpan w:val="4"/>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b/>
                <w:sz w:val="20"/>
                <w:szCs w:val="20"/>
              </w:rPr>
            </w:pPr>
            <w:r w:rsidRPr="00D50E91">
              <w:rPr>
                <w:b/>
                <w:sz w:val="20"/>
                <w:szCs w:val="20"/>
              </w:rPr>
              <w:t xml:space="preserve"> Épület és tárolási egység közötti tűztávolság (m),</w:t>
            </w:r>
            <w:r w:rsidRPr="00D50E91">
              <w:rPr>
                <w:b/>
                <w:sz w:val="20"/>
                <w:szCs w:val="20"/>
              </w:rPr>
              <w:br/>
              <w:t>ha az épület mértékadó kockázati osztálya</w:t>
            </w:r>
          </w:p>
        </w:tc>
      </w:tr>
      <w:tr w:rsidR="005B415B" w:rsidRPr="00D50E91" w:rsidTr="00C65880">
        <w:tc>
          <w:tcPr>
            <w:tcW w:w="56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2</w:t>
            </w:r>
          </w:p>
        </w:tc>
        <w:tc>
          <w:tcPr>
            <w:tcW w:w="6236" w:type="dxa"/>
            <w:tcBorders>
              <w:top w:val="nil"/>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rPr>
                <w:b/>
                <w:sz w:val="20"/>
                <w:szCs w:val="20"/>
              </w:rPr>
            </w:pPr>
            <w:r w:rsidRPr="00D50E91">
              <w:rPr>
                <w:b/>
                <w:sz w:val="20"/>
                <w:szCs w:val="20"/>
              </w:rPr>
              <w:t xml:space="preserve"> </w:t>
            </w:r>
          </w:p>
        </w:tc>
        <w:tc>
          <w:tcPr>
            <w:tcW w:w="170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b/>
                <w:sz w:val="20"/>
                <w:szCs w:val="20"/>
              </w:rPr>
            </w:pPr>
            <w:r w:rsidRPr="00D50E91">
              <w:rPr>
                <w:b/>
                <w:sz w:val="20"/>
                <w:szCs w:val="20"/>
              </w:rPr>
              <w:t xml:space="preserve"> NAK</w:t>
            </w:r>
          </w:p>
        </w:tc>
        <w:tc>
          <w:tcPr>
            <w:tcW w:w="170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b/>
                <w:sz w:val="20"/>
                <w:szCs w:val="20"/>
              </w:rPr>
            </w:pPr>
            <w:r w:rsidRPr="00D50E91">
              <w:rPr>
                <w:b/>
                <w:sz w:val="20"/>
                <w:szCs w:val="20"/>
              </w:rPr>
              <w:t xml:space="preserve"> AK</w:t>
            </w:r>
          </w:p>
        </w:tc>
        <w:tc>
          <w:tcPr>
            <w:tcW w:w="170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b/>
                <w:sz w:val="20"/>
                <w:szCs w:val="20"/>
              </w:rPr>
            </w:pPr>
            <w:r w:rsidRPr="00D50E91">
              <w:rPr>
                <w:b/>
                <w:sz w:val="20"/>
                <w:szCs w:val="20"/>
              </w:rPr>
              <w:t xml:space="preserve"> KK</w:t>
            </w:r>
          </w:p>
        </w:tc>
        <w:tc>
          <w:tcPr>
            <w:tcW w:w="170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b/>
                <w:sz w:val="20"/>
                <w:szCs w:val="20"/>
              </w:rPr>
            </w:pPr>
            <w:r w:rsidRPr="00D50E91">
              <w:rPr>
                <w:b/>
                <w:sz w:val="20"/>
                <w:szCs w:val="20"/>
              </w:rPr>
              <w:t xml:space="preserve"> MK</w:t>
            </w:r>
          </w:p>
        </w:tc>
      </w:tr>
      <w:tr w:rsidR="005B415B" w:rsidRPr="00D50E91" w:rsidTr="00C65880">
        <w:tc>
          <w:tcPr>
            <w:tcW w:w="56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3</w:t>
            </w:r>
          </w:p>
        </w:tc>
        <w:tc>
          <w:tcPr>
            <w:tcW w:w="6236"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rPr>
                <w:sz w:val="20"/>
                <w:szCs w:val="20"/>
              </w:rPr>
            </w:pPr>
            <w:r w:rsidRPr="00D50E91">
              <w:rPr>
                <w:sz w:val="20"/>
                <w:szCs w:val="20"/>
              </w:rPr>
              <w:t xml:space="preserve"> Kizárólag nem tűzveszélyes osztályba tartozó anyag és csak ilyen anyagból készített termék, tárgy; éghető anyagú csomagolás, tárolóeszköz nélkül</w:t>
            </w:r>
          </w:p>
        </w:tc>
        <w:tc>
          <w:tcPr>
            <w:tcW w:w="6804" w:type="dxa"/>
            <w:gridSpan w:val="4"/>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nincs követelmény (tekintettel az éghető csomagolás és tárolóeszköz hiányára)</w:t>
            </w:r>
          </w:p>
        </w:tc>
      </w:tr>
      <w:tr w:rsidR="005B415B" w:rsidRPr="00D50E91" w:rsidTr="00C65880">
        <w:tc>
          <w:tcPr>
            <w:tcW w:w="56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4</w:t>
            </w:r>
          </w:p>
        </w:tc>
        <w:tc>
          <w:tcPr>
            <w:tcW w:w="6236"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rPr>
                <w:sz w:val="20"/>
                <w:szCs w:val="20"/>
              </w:rPr>
            </w:pPr>
            <w:r w:rsidRPr="00D50E91">
              <w:rPr>
                <w:sz w:val="20"/>
                <w:szCs w:val="20"/>
              </w:rPr>
              <w:t xml:space="preserve"> Csak fokozottan tűz</w:t>
            </w:r>
            <w:r w:rsidR="003528A8">
              <w:rPr>
                <w:sz w:val="20"/>
                <w:szCs w:val="20"/>
              </w:rPr>
              <w:t>-</w:t>
            </w:r>
            <w:r w:rsidRPr="00D50E91">
              <w:rPr>
                <w:sz w:val="20"/>
                <w:szCs w:val="20"/>
              </w:rPr>
              <w:t xml:space="preserve"> vagy robbanásveszélyes osztályba tartozó anyag, 3000 litert meghaladó mennyiségben</w:t>
            </w:r>
          </w:p>
        </w:tc>
        <w:tc>
          <w:tcPr>
            <w:tcW w:w="170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10</w:t>
            </w:r>
          </w:p>
        </w:tc>
        <w:tc>
          <w:tcPr>
            <w:tcW w:w="170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10</w:t>
            </w:r>
          </w:p>
        </w:tc>
        <w:tc>
          <w:tcPr>
            <w:tcW w:w="170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12</w:t>
            </w:r>
          </w:p>
        </w:tc>
        <w:tc>
          <w:tcPr>
            <w:tcW w:w="170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14</w:t>
            </w:r>
          </w:p>
        </w:tc>
      </w:tr>
      <w:tr w:rsidR="005B415B" w:rsidRPr="00D50E91" w:rsidTr="00C65880">
        <w:tc>
          <w:tcPr>
            <w:tcW w:w="56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5</w:t>
            </w:r>
          </w:p>
        </w:tc>
        <w:tc>
          <w:tcPr>
            <w:tcW w:w="6236" w:type="dxa"/>
            <w:tcBorders>
              <w:top w:val="single" w:sz="4" w:space="0" w:color="auto"/>
              <w:left w:val="single" w:sz="4" w:space="0" w:color="auto"/>
              <w:bottom w:val="single" w:sz="4" w:space="0" w:color="auto"/>
              <w:right w:val="single" w:sz="4" w:space="0" w:color="auto"/>
            </w:tcBorders>
          </w:tcPr>
          <w:p w:rsidR="00107BB1" w:rsidRPr="00D50E91" w:rsidRDefault="00107BB1" w:rsidP="00107BB1">
            <w:pPr>
              <w:autoSpaceDE w:val="0"/>
              <w:autoSpaceDN w:val="0"/>
              <w:adjustRightInd w:val="0"/>
              <w:ind w:left="56" w:right="56"/>
              <w:rPr>
                <w:sz w:val="20"/>
                <w:szCs w:val="20"/>
              </w:rPr>
            </w:pPr>
            <w:r w:rsidRPr="00D50E91">
              <w:rPr>
                <w:sz w:val="20"/>
                <w:szCs w:val="20"/>
              </w:rPr>
              <w:t xml:space="preserve"> M</w:t>
            </w:r>
            <w:r w:rsidR="005B415B" w:rsidRPr="00D50E91">
              <w:rPr>
                <w:sz w:val="20"/>
                <w:szCs w:val="20"/>
              </w:rPr>
              <w:t>érsékelten tűzveszélyes és nem tűzveszélyes osztályba tartozó anyagok és ilyen anyagból készített termék, tárgy a csomagolás tűzvédelmi jellemzőitől függetlenül, és legfeljebb 3</w:t>
            </w:r>
            <w:r w:rsidR="003D757E" w:rsidRPr="00D50E91">
              <w:rPr>
                <w:sz w:val="20"/>
                <w:szCs w:val="20"/>
              </w:rPr>
              <w:t> </w:t>
            </w:r>
            <w:r w:rsidR="005B415B" w:rsidRPr="00D50E91">
              <w:rPr>
                <w:sz w:val="20"/>
                <w:szCs w:val="20"/>
              </w:rPr>
              <w:t>000</w:t>
            </w:r>
            <w:r w:rsidR="003D757E" w:rsidRPr="00D50E91">
              <w:rPr>
                <w:sz w:val="20"/>
                <w:szCs w:val="20"/>
              </w:rPr>
              <w:t xml:space="preserve"> </w:t>
            </w:r>
            <w:r w:rsidR="005B415B" w:rsidRPr="00D50E91">
              <w:rPr>
                <w:sz w:val="20"/>
                <w:szCs w:val="20"/>
              </w:rPr>
              <w:t>liter mennyiségben fokozottan tűz</w:t>
            </w:r>
            <w:r w:rsidR="003528A8">
              <w:rPr>
                <w:sz w:val="20"/>
                <w:szCs w:val="20"/>
              </w:rPr>
              <w:t>-</w:t>
            </w:r>
            <w:r w:rsidR="005B415B" w:rsidRPr="00D50E91">
              <w:rPr>
                <w:sz w:val="20"/>
                <w:szCs w:val="20"/>
              </w:rPr>
              <w:t xml:space="preserve"> vagy robbanásveszélyes osztályba tartozó anyag</w:t>
            </w:r>
          </w:p>
          <w:p w:rsidR="00107BB1" w:rsidRPr="00D50E91" w:rsidRDefault="005B415B" w:rsidP="00107BB1">
            <w:pPr>
              <w:autoSpaceDE w:val="0"/>
              <w:autoSpaceDN w:val="0"/>
              <w:adjustRightInd w:val="0"/>
              <w:ind w:left="56" w:right="56"/>
              <w:rPr>
                <w:sz w:val="20"/>
                <w:szCs w:val="20"/>
              </w:rPr>
            </w:pPr>
            <w:r w:rsidRPr="00D50E91">
              <w:rPr>
                <w:sz w:val="20"/>
                <w:szCs w:val="20"/>
              </w:rPr>
              <w:br/>
            </w:r>
            <w:r w:rsidR="00107BB1" w:rsidRPr="00D50E91">
              <w:rPr>
                <w:sz w:val="20"/>
                <w:szCs w:val="20"/>
              </w:rPr>
              <w:t>Kizárólag</w:t>
            </w:r>
            <w:r w:rsidRPr="00D50E91">
              <w:rPr>
                <w:sz w:val="20"/>
                <w:szCs w:val="20"/>
              </w:rPr>
              <w:t xml:space="preserve"> nem tűzveszélyes osztályba tartozó anyag és csak ilyen anyagból készített termék, tárgy éghető anyagú csomagolással</w:t>
            </w:r>
          </w:p>
          <w:p w:rsidR="005B415B" w:rsidRPr="00D50E91" w:rsidRDefault="005B415B" w:rsidP="00107BB1">
            <w:pPr>
              <w:autoSpaceDE w:val="0"/>
              <w:autoSpaceDN w:val="0"/>
              <w:adjustRightInd w:val="0"/>
              <w:ind w:left="56" w:right="56"/>
              <w:rPr>
                <w:sz w:val="20"/>
                <w:szCs w:val="20"/>
              </w:rPr>
            </w:pPr>
            <w:r w:rsidRPr="00D50E91">
              <w:rPr>
                <w:sz w:val="20"/>
                <w:szCs w:val="20"/>
              </w:rPr>
              <w:br/>
            </w:r>
            <w:r w:rsidR="00107BB1" w:rsidRPr="00D50E91">
              <w:rPr>
                <w:sz w:val="20"/>
                <w:szCs w:val="20"/>
              </w:rPr>
              <w:t>Kizárólag</w:t>
            </w:r>
            <w:r w:rsidRPr="00D50E91">
              <w:rPr>
                <w:sz w:val="20"/>
                <w:szCs w:val="20"/>
              </w:rPr>
              <w:t xml:space="preserve"> fokozottan tűz</w:t>
            </w:r>
            <w:r w:rsidR="003528A8">
              <w:rPr>
                <w:sz w:val="20"/>
                <w:szCs w:val="20"/>
              </w:rPr>
              <w:t>-</w:t>
            </w:r>
            <w:r w:rsidRPr="00D50E91">
              <w:rPr>
                <w:sz w:val="20"/>
                <w:szCs w:val="20"/>
              </w:rPr>
              <w:t xml:space="preserve"> vagy robbanásveszélyes osztályba tartozó anyag legfeljebb 3</w:t>
            </w:r>
            <w:r w:rsidR="003D757E" w:rsidRPr="00D50E91">
              <w:rPr>
                <w:sz w:val="20"/>
                <w:szCs w:val="20"/>
              </w:rPr>
              <w:t> </w:t>
            </w:r>
            <w:r w:rsidRPr="00D50E91">
              <w:rPr>
                <w:sz w:val="20"/>
                <w:szCs w:val="20"/>
              </w:rPr>
              <w:t>000</w:t>
            </w:r>
            <w:r w:rsidR="003D757E" w:rsidRPr="00D50E91">
              <w:rPr>
                <w:sz w:val="20"/>
                <w:szCs w:val="20"/>
              </w:rPr>
              <w:t xml:space="preserve"> </w:t>
            </w:r>
            <w:r w:rsidRPr="00D50E91">
              <w:rPr>
                <w:sz w:val="20"/>
                <w:szCs w:val="20"/>
              </w:rPr>
              <w:t>l</w:t>
            </w:r>
            <w:r w:rsidR="00925027" w:rsidRPr="00D50E91">
              <w:rPr>
                <w:sz w:val="20"/>
                <w:szCs w:val="20"/>
              </w:rPr>
              <w:t>iter</w:t>
            </w:r>
            <w:r w:rsidRPr="00D50E91">
              <w:rPr>
                <w:sz w:val="20"/>
                <w:szCs w:val="20"/>
              </w:rPr>
              <w:t xml:space="preserve"> mennyiségben</w:t>
            </w:r>
          </w:p>
        </w:tc>
        <w:tc>
          <w:tcPr>
            <w:tcW w:w="170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6</w:t>
            </w:r>
          </w:p>
        </w:tc>
        <w:tc>
          <w:tcPr>
            <w:tcW w:w="170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6</w:t>
            </w:r>
          </w:p>
        </w:tc>
        <w:tc>
          <w:tcPr>
            <w:tcW w:w="170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8</w:t>
            </w:r>
          </w:p>
        </w:tc>
        <w:tc>
          <w:tcPr>
            <w:tcW w:w="170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10</w:t>
            </w:r>
          </w:p>
        </w:tc>
      </w:tr>
      <w:tr w:rsidR="005B415B" w:rsidRPr="00D50E91" w:rsidTr="00C65880">
        <w:tc>
          <w:tcPr>
            <w:tcW w:w="56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6</w:t>
            </w:r>
          </w:p>
        </w:tc>
        <w:tc>
          <w:tcPr>
            <w:tcW w:w="6236"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rPr>
                <w:sz w:val="20"/>
                <w:szCs w:val="20"/>
              </w:rPr>
            </w:pPr>
            <w:r w:rsidRPr="00D50E91">
              <w:rPr>
                <w:sz w:val="20"/>
                <w:szCs w:val="20"/>
              </w:rPr>
              <w:t xml:space="preserve"> Létesítményen kívüli kazal, szérű, rostnövénytároló</w:t>
            </w:r>
          </w:p>
        </w:tc>
        <w:tc>
          <w:tcPr>
            <w:tcW w:w="3402" w:type="dxa"/>
            <w:gridSpan w:val="2"/>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50</w:t>
            </w:r>
          </w:p>
        </w:tc>
        <w:tc>
          <w:tcPr>
            <w:tcW w:w="170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100</w:t>
            </w:r>
          </w:p>
        </w:tc>
        <w:tc>
          <w:tcPr>
            <w:tcW w:w="170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200</w:t>
            </w:r>
          </w:p>
        </w:tc>
      </w:tr>
    </w:tbl>
    <w:p w:rsidR="005B415B" w:rsidRPr="00D50E91" w:rsidRDefault="005B415B" w:rsidP="00595B18">
      <w:pPr>
        <w:jc w:val="both"/>
      </w:pPr>
    </w:p>
    <w:p w:rsidR="005B415B" w:rsidRPr="00D50E91" w:rsidRDefault="005B415B" w:rsidP="00595B18">
      <w:pPr>
        <w:jc w:val="both"/>
      </w:pPr>
    </w:p>
    <w:p w:rsidR="005B415B" w:rsidRPr="00D50E91" w:rsidRDefault="005B415B" w:rsidP="00CE0726">
      <w:pPr>
        <w:pStyle w:val="Kpalrs"/>
      </w:pPr>
      <w:r w:rsidRPr="00D50E91">
        <w:t>3. táblázat, a Tűztávolság alcímhez</w:t>
      </w:r>
    </w:p>
    <w:p w:rsidR="005B415B" w:rsidRPr="00D50E91" w:rsidRDefault="005B415B" w:rsidP="00595B18">
      <w:pPr>
        <w:jc w:val="both"/>
      </w:pPr>
    </w:p>
    <w:tbl>
      <w:tblPr>
        <w:tblW w:w="0" w:type="auto"/>
        <w:tblInd w:w="5" w:type="dxa"/>
        <w:tblLayout w:type="fixed"/>
        <w:tblCellMar>
          <w:left w:w="0" w:type="dxa"/>
          <w:right w:w="0" w:type="dxa"/>
        </w:tblCellMar>
        <w:tblLook w:val="0000" w:firstRow="0" w:lastRow="0" w:firstColumn="0" w:lastColumn="0" w:noHBand="0" w:noVBand="0"/>
      </w:tblPr>
      <w:tblGrid>
        <w:gridCol w:w="562"/>
        <w:gridCol w:w="8504"/>
        <w:gridCol w:w="4536"/>
      </w:tblGrid>
      <w:tr w:rsidR="005B415B" w:rsidRPr="00D50E91" w:rsidTr="00C65880">
        <w:tc>
          <w:tcPr>
            <w:tcW w:w="56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rPr>
                <w:sz w:val="20"/>
                <w:szCs w:val="20"/>
              </w:rPr>
            </w:pPr>
          </w:p>
        </w:tc>
        <w:tc>
          <w:tcPr>
            <w:tcW w:w="8504"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A</w:t>
            </w:r>
          </w:p>
        </w:tc>
        <w:tc>
          <w:tcPr>
            <w:tcW w:w="4536"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B</w:t>
            </w:r>
          </w:p>
        </w:tc>
      </w:tr>
      <w:tr w:rsidR="005B415B" w:rsidRPr="00D50E91" w:rsidTr="00C65880">
        <w:tc>
          <w:tcPr>
            <w:tcW w:w="56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b/>
                <w:sz w:val="20"/>
                <w:szCs w:val="20"/>
              </w:rPr>
              <w:t xml:space="preserve"> </w:t>
            </w:r>
            <w:r w:rsidRPr="00D50E91">
              <w:rPr>
                <w:sz w:val="20"/>
                <w:szCs w:val="20"/>
              </w:rPr>
              <w:t>1</w:t>
            </w:r>
          </w:p>
        </w:tc>
        <w:tc>
          <w:tcPr>
            <w:tcW w:w="8504"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b/>
                <w:sz w:val="20"/>
                <w:szCs w:val="20"/>
              </w:rPr>
            </w:pPr>
            <w:r w:rsidRPr="00D50E91">
              <w:rPr>
                <w:b/>
                <w:sz w:val="20"/>
                <w:szCs w:val="20"/>
              </w:rPr>
              <w:t xml:space="preserve"> A tárolási egységben tárolt anyag jellege, tűzveszélyességi jellemzői</w:t>
            </w:r>
          </w:p>
        </w:tc>
        <w:tc>
          <w:tcPr>
            <w:tcW w:w="4536"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b/>
                <w:sz w:val="20"/>
                <w:szCs w:val="20"/>
              </w:rPr>
            </w:pPr>
            <w:r w:rsidRPr="00D50E91">
              <w:rPr>
                <w:b/>
                <w:sz w:val="20"/>
                <w:szCs w:val="20"/>
              </w:rPr>
              <w:t xml:space="preserve"> A tárolási egységtől tartandó tűztávolság (m)</w:t>
            </w:r>
          </w:p>
        </w:tc>
      </w:tr>
      <w:tr w:rsidR="005B415B" w:rsidRPr="00D50E91" w:rsidTr="00C65880">
        <w:tc>
          <w:tcPr>
            <w:tcW w:w="56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2</w:t>
            </w:r>
          </w:p>
        </w:tc>
        <w:tc>
          <w:tcPr>
            <w:tcW w:w="8504"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rPr>
                <w:sz w:val="20"/>
                <w:szCs w:val="20"/>
              </w:rPr>
            </w:pPr>
            <w:r w:rsidRPr="00D50E91">
              <w:rPr>
                <w:sz w:val="20"/>
                <w:szCs w:val="20"/>
              </w:rPr>
              <w:t xml:space="preserve"> Kizárólag nem tűzveszélyes osztályba tartozó anyag és csak ilyen anyagból készített termék, tárgy;</w:t>
            </w:r>
            <w:r w:rsidRPr="00D50E91">
              <w:rPr>
                <w:sz w:val="20"/>
                <w:szCs w:val="20"/>
              </w:rPr>
              <w:br/>
              <w:t>éghető anyagú csomagolás, tárolóeszköz nélkül</w:t>
            </w:r>
          </w:p>
        </w:tc>
        <w:tc>
          <w:tcPr>
            <w:tcW w:w="4536"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nincs követelmény</w:t>
            </w:r>
          </w:p>
        </w:tc>
      </w:tr>
      <w:tr w:rsidR="005B415B" w:rsidRPr="00D50E91" w:rsidTr="00C65880">
        <w:tc>
          <w:tcPr>
            <w:tcW w:w="56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3</w:t>
            </w:r>
          </w:p>
        </w:tc>
        <w:tc>
          <w:tcPr>
            <w:tcW w:w="8504" w:type="dxa"/>
            <w:tcBorders>
              <w:top w:val="single" w:sz="4" w:space="0" w:color="auto"/>
              <w:left w:val="single" w:sz="4" w:space="0" w:color="auto"/>
              <w:bottom w:val="single" w:sz="4" w:space="0" w:color="auto"/>
              <w:right w:val="single" w:sz="4" w:space="0" w:color="auto"/>
            </w:tcBorders>
          </w:tcPr>
          <w:p w:rsidR="005B415B" w:rsidRPr="00D50E91" w:rsidRDefault="005B415B" w:rsidP="003D757E">
            <w:pPr>
              <w:autoSpaceDE w:val="0"/>
              <w:autoSpaceDN w:val="0"/>
              <w:adjustRightInd w:val="0"/>
              <w:ind w:left="56" w:right="56"/>
              <w:rPr>
                <w:sz w:val="20"/>
                <w:szCs w:val="20"/>
              </w:rPr>
            </w:pPr>
            <w:r w:rsidRPr="00D50E91">
              <w:rPr>
                <w:sz w:val="20"/>
                <w:szCs w:val="20"/>
              </w:rPr>
              <w:t xml:space="preserve"> Csak fokozottan tűz</w:t>
            </w:r>
            <w:r w:rsidR="003528A8">
              <w:rPr>
                <w:sz w:val="20"/>
                <w:szCs w:val="20"/>
              </w:rPr>
              <w:t>-</w:t>
            </w:r>
            <w:r w:rsidRPr="00D50E91">
              <w:rPr>
                <w:sz w:val="20"/>
                <w:szCs w:val="20"/>
              </w:rPr>
              <w:t xml:space="preserve"> vagy robbanásveszélyes osztályba tartozó anyag 3</w:t>
            </w:r>
            <w:r w:rsidR="003D757E" w:rsidRPr="00D50E91">
              <w:rPr>
                <w:sz w:val="20"/>
                <w:szCs w:val="20"/>
              </w:rPr>
              <w:t> </w:t>
            </w:r>
            <w:r w:rsidRPr="00D50E91">
              <w:rPr>
                <w:sz w:val="20"/>
                <w:szCs w:val="20"/>
              </w:rPr>
              <w:t>000</w:t>
            </w:r>
            <w:r w:rsidR="003D757E" w:rsidRPr="00D50E91">
              <w:rPr>
                <w:sz w:val="20"/>
                <w:szCs w:val="20"/>
              </w:rPr>
              <w:t xml:space="preserve"> </w:t>
            </w:r>
            <w:r w:rsidR="00925027" w:rsidRPr="00D50E91">
              <w:rPr>
                <w:sz w:val="20"/>
                <w:szCs w:val="20"/>
              </w:rPr>
              <w:t xml:space="preserve">litert </w:t>
            </w:r>
            <w:r w:rsidRPr="00D50E91">
              <w:rPr>
                <w:sz w:val="20"/>
                <w:szCs w:val="20"/>
              </w:rPr>
              <w:t>meghaladó mennyiségben</w:t>
            </w:r>
          </w:p>
        </w:tc>
        <w:tc>
          <w:tcPr>
            <w:tcW w:w="4536"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15</w:t>
            </w:r>
          </w:p>
        </w:tc>
      </w:tr>
      <w:tr w:rsidR="005B415B" w:rsidRPr="00D50E91" w:rsidTr="00C65880">
        <w:tc>
          <w:tcPr>
            <w:tcW w:w="56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4</w:t>
            </w:r>
          </w:p>
        </w:tc>
        <w:tc>
          <w:tcPr>
            <w:tcW w:w="8504" w:type="dxa"/>
            <w:tcBorders>
              <w:top w:val="single" w:sz="4" w:space="0" w:color="auto"/>
              <w:left w:val="single" w:sz="4" w:space="0" w:color="auto"/>
              <w:bottom w:val="single" w:sz="4" w:space="0" w:color="auto"/>
              <w:right w:val="single" w:sz="4" w:space="0" w:color="auto"/>
            </w:tcBorders>
          </w:tcPr>
          <w:p w:rsidR="00107BB1" w:rsidRPr="00D50E91" w:rsidRDefault="00107BB1" w:rsidP="003D757E">
            <w:pPr>
              <w:autoSpaceDE w:val="0"/>
              <w:autoSpaceDN w:val="0"/>
              <w:adjustRightInd w:val="0"/>
              <w:ind w:left="56" w:right="56"/>
              <w:rPr>
                <w:sz w:val="20"/>
                <w:szCs w:val="20"/>
              </w:rPr>
            </w:pPr>
            <w:r w:rsidRPr="00D50E91">
              <w:rPr>
                <w:sz w:val="20"/>
                <w:szCs w:val="20"/>
              </w:rPr>
              <w:t xml:space="preserve"> M</w:t>
            </w:r>
            <w:r w:rsidR="005B415B" w:rsidRPr="00D50E91">
              <w:rPr>
                <w:sz w:val="20"/>
                <w:szCs w:val="20"/>
              </w:rPr>
              <w:t>érsékelten tűzveszélyes és nem tűzveszélyes osztályba tartozó anyagok és ilyen anyagból készített termék, tárgy a csomagolás tűzvédelmi jellemzőitől függetlenül, és</w:t>
            </w:r>
            <w:r w:rsidR="005B415B" w:rsidRPr="00D50E91">
              <w:rPr>
                <w:sz w:val="20"/>
                <w:szCs w:val="20"/>
              </w:rPr>
              <w:br/>
              <w:t>legfeljebb 3</w:t>
            </w:r>
            <w:r w:rsidR="003D757E" w:rsidRPr="00D50E91">
              <w:rPr>
                <w:sz w:val="20"/>
                <w:szCs w:val="20"/>
              </w:rPr>
              <w:t> </w:t>
            </w:r>
            <w:r w:rsidR="005B415B" w:rsidRPr="00D50E91">
              <w:rPr>
                <w:sz w:val="20"/>
                <w:szCs w:val="20"/>
              </w:rPr>
              <w:t>000</w:t>
            </w:r>
            <w:r w:rsidR="003D757E" w:rsidRPr="00D50E91">
              <w:rPr>
                <w:sz w:val="20"/>
                <w:szCs w:val="20"/>
              </w:rPr>
              <w:t xml:space="preserve"> </w:t>
            </w:r>
            <w:r w:rsidR="005B415B" w:rsidRPr="00D50E91">
              <w:rPr>
                <w:sz w:val="20"/>
                <w:szCs w:val="20"/>
              </w:rPr>
              <w:t>liter mennyiségben fokozottan tűz</w:t>
            </w:r>
            <w:r w:rsidR="003528A8">
              <w:rPr>
                <w:sz w:val="20"/>
                <w:szCs w:val="20"/>
              </w:rPr>
              <w:t>-</w:t>
            </w:r>
            <w:r w:rsidR="005B415B" w:rsidRPr="00D50E91">
              <w:rPr>
                <w:sz w:val="20"/>
                <w:szCs w:val="20"/>
              </w:rPr>
              <w:t xml:space="preserve"> vagy robbanásveszélyes anyag</w:t>
            </w:r>
          </w:p>
          <w:p w:rsidR="00107BB1" w:rsidRPr="00D50E91" w:rsidRDefault="00107BB1" w:rsidP="003D757E">
            <w:pPr>
              <w:autoSpaceDE w:val="0"/>
              <w:autoSpaceDN w:val="0"/>
              <w:adjustRightInd w:val="0"/>
              <w:ind w:left="56" w:right="56"/>
              <w:rPr>
                <w:sz w:val="20"/>
                <w:szCs w:val="20"/>
              </w:rPr>
            </w:pPr>
            <w:r w:rsidRPr="00D50E91">
              <w:rPr>
                <w:sz w:val="20"/>
                <w:szCs w:val="20"/>
              </w:rPr>
              <w:br/>
              <w:t xml:space="preserve"> Kizárólag</w:t>
            </w:r>
            <w:r w:rsidR="005B415B" w:rsidRPr="00D50E91">
              <w:rPr>
                <w:sz w:val="20"/>
                <w:szCs w:val="20"/>
              </w:rPr>
              <w:t xml:space="preserve"> nem tűzveszélyes osztályba tartozó anyag és csak ilyen anyagból készített termék, tárgy éghető anyagú csomagolással</w:t>
            </w:r>
          </w:p>
          <w:p w:rsidR="005B415B" w:rsidRPr="00D50E91" w:rsidRDefault="00107BB1" w:rsidP="003D757E">
            <w:pPr>
              <w:autoSpaceDE w:val="0"/>
              <w:autoSpaceDN w:val="0"/>
              <w:adjustRightInd w:val="0"/>
              <w:ind w:left="56" w:right="56"/>
              <w:rPr>
                <w:sz w:val="20"/>
                <w:szCs w:val="20"/>
              </w:rPr>
            </w:pPr>
            <w:r w:rsidRPr="00D50E91">
              <w:rPr>
                <w:sz w:val="20"/>
                <w:szCs w:val="20"/>
              </w:rPr>
              <w:br/>
              <w:t xml:space="preserve"> Kizárólag</w:t>
            </w:r>
            <w:r w:rsidR="005B415B" w:rsidRPr="00D50E91">
              <w:rPr>
                <w:sz w:val="20"/>
                <w:szCs w:val="20"/>
              </w:rPr>
              <w:t xml:space="preserve"> fokozottan tűz</w:t>
            </w:r>
            <w:r w:rsidR="003528A8">
              <w:rPr>
                <w:sz w:val="20"/>
                <w:szCs w:val="20"/>
              </w:rPr>
              <w:t>-</w:t>
            </w:r>
            <w:r w:rsidR="005B415B" w:rsidRPr="00D50E91">
              <w:rPr>
                <w:sz w:val="20"/>
                <w:szCs w:val="20"/>
              </w:rPr>
              <w:t xml:space="preserve"> vagy robbanásveszélyes osztályba tartozó anyag legfeljebb 3</w:t>
            </w:r>
            <w:r w:rsidR="003D757E" w:rsidRPr="00D50E91">
              <w:rPr>
                <w:sz w:val="20"/>
                <w:szCs w:val="20"/>
              </w:rPr>
              <w:t> </w:t>
            </w:r>
            <w:r w:rsidR="005B415B" w:rsidRPr="00D50E91">
              <w:rPr>
                <w:sz w:val="20"/>
                <w:szCs w:val="20"/>
              </w:rPr>
              <w:t>000</w:t>
            </w:r>
            <w:r w:rsidR="003D757E" w:rsidRPr="00D50E91">
              <w:rPr>
                <w:sz w:val="20"/>
                <w:szCs w:val="20"/>
              </w:rPr>
              <w:t xml:space="preserve"> </w:t>
            </w:r>
            <w:r w:rsidR="005B415B" w:rsidRPr="00D50E91">
              <w:rPr>
                <w:sz w:val="20"/>
                <w:szCs w:val="20"/>
              </w:rPr>
              <w:t>liter mennyiségben</w:t>
            </w:r>
          </w:p>
        </w:tc>
        <w:tc>
          <w:tcPr>
            <w:tcW w:w="4536"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10</w:t>
            </w:r>
          </w:p>
        </w:tc>
      </w:tr>
      <w:tr w:rsidR="005B415B" w:rsidRPr="00D50E91" w:rsidTr="00C65880">
        <w:tc>
          <w:tcPr>
            <w:tcW w:w="56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5</w:t>
            </w:r>
          </w:p>
        </w:tc>
        <w:tc>
          <w:tcPr>
            <w:tcW w:w="8504"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rPr>
                <w:sz w:val="20"/>
                <w:szCs w:val="20"/>
              </w:rPr>
            </w:pPr>
            <w:r w:rsidRPr="00D50E91">
              <w:rPr>
                <w:sz w:val="20"/>
                <w:szCs w:val="20"/>
              </w:rPr>
              <w:t xml:space="preserve"> Létesítményen kívüli kazal, szérű, rostnövénytároló</w:t>
            </w:r>
          </w:p>
        </w:tc>
        <w:tc>
          <w:tcPr>
            <w:tcW w:w="4536"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20</w:t>
            </w:r>
          </w:p>
        </w:tc>
      </w:tr>
    </w:tbl>
    <w:p w:rsidR="005B415B" w:rsidRPr="00D50E91" w:rsidRDefault="005B415B" w:rsidP="00595B18">
      <w:pPr>
        <w:jc w:val="both"/>
      </w:pPr>
    </w:p>
    <w:p w:rsidR="005B415B" w:rsidRPr="00D50E91" w:rsidRDefault="005B415B">
      <w:pPr>
        <w:spacing w:after="200" w:line="276" w:lineRule="auto"/>
      </w:pPr>
      <w:r w:rsidRPr="00D50E91">
        <w:br w:type="page"/>
      </w:r>
    </w:p>
    <w:p w:rsidR="005B415B" w:rsidRPr="00D50E91" w:rsidRDefault="005B415B" w:rsidP="00CE0726">
      <w:pPr>
        <w:autoSpaceDE w:val="0"/>
        <w:autoSpaceDN w:val="0"/>
        <w:adjustRightInd w:val="0"/>
        <w:jc w:val="right"/>
        <w:rPr>
          <w:i/>
        </w:rPr>
      </w:pPr>
      <w:r w:rsidRPr="00D50E91">
        <w:rPr>
          <w:i/>
        </w:rPr>
        <w:lastRenderedPageBreak/>
        <w:t>4. melléklet a …./2018. (……) BM rendelethez</w:t>
      </w:r>
    </w:p>
    <w:p w:rsidR="005B415B" w:rsidRPr="00D50E91" w:rsidRDefault="005B415B" w:rsidP="00CE0726">
      <w:pPr>
        <w:jc w:val="both"/>
      </w:pPr>
    </w:p>
    <w:p w:rsidR="005B415B" w:rsidRPr="00D50E91" w:rsidRDefault="005B415B" w:rsidP="00CE0726">
      <w:pPr>
        <w:pStyle w:val="Szvegtrzs"/>
        <w:rPr>
          <w:i/>
        </w:rPr>
      </w:pPr>
      <w:r w:rsidRPr="00D50E91">
        <w:rPr>
          <w:i/>
        </w:rPr>
        <w:t>5. melléklet az 54/2014. (XII. 5.) BM rendelethez</w:t>
      </w:r>
    </w:p>
    <w:p w:rsidR="005B415B" w:rsidRPr="00D50E91" w:rsidRDefault="005B415B" w:rsidP="00CE0726">
      <w:pPr>
        <w:jc w:val="both"/>
      </w:pPr>
    </w:p>
    <w:p w:rsidR="005B415B" w:rsidRPr="00D50E91" w:rsidRDefault="005B415B" w:rsidP="00CE0726">
      <w:pPr>
        <w:jc w:val="both"/>
        <w:rPr>
          <w:b/>
          <w:sz w:val="20"/>
          <w:szCs w:val="20"/>
        </w:rPr>
      </w:pPr>
      <w:r w:rsidRPr="00D50E91">
        <w:rPr>
          <w:b/>
          <w:sz w:val="20"/>
          <w:szCs w:val="20"/>
        </w:rPr>
        <w:t>1. táblázat, a Tűzszakaszok kialakítása alcímhez</w:t>
      </w:r>
    </w:p>
    <w:p w:rsidR="005B415B" w:rsidRPr="00D50E91" w:rsidRDefault="005B415B" w:rsidP="00595B18">
      <w:pPr>
        <w:jc w:val="both"/>
      </w:pPr>
    </w:p>
    <w:tbl>
      <w:tblPr>
        <w:tblW w:w="0" w:type="auto"/>
        <w:tblInd w:w="5" w:type="dxa"/>
        <w:tblLayout w:type="fixed"/>
        <w:tblCellMar>
          <w:left w:w="0" w:type="dxa"/>
          <w:right w:w="0" w:type="dxa"/>
        </w:tblCellMar>
        <w:tblLook w:val="0000" w:firstRow="0" w:lastRow="0" w:firstColumn="0" w:lastColumn="0" w:noHBand="0" w:noVBand="0"/>
      </w:tblPr>
      <w:tblGrid>
        <w:gridCol w:w="540"/>
        <w:gridCol w:w="1632"/>
        <w:gridCol w:w="3264"/>
        <w:gridCol w:w="1632"/>
        <w:gridCol w:w="1634"/>
        <w:gridCol w:w="1633"/>
        <w:gridCol w:w="1634"/>
        <w:gridCol w:w="1632"/>
      </w:tblGrid>
      <w:tr w:rsidR="00CE4114" w:rsidRPr="00D50E91" w:rsidTr="00BA45D4">
        <w:tc>
          <w:tcPr>
            <w:tcW w:w="540"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rPr>
                <w:sz w:val="20"/>
                <w:szCs w:val="20"/>
              </w:rPr>
            </w:pPr>
          </w:p>
        </w:tc>
        <w:tc>
          <w:tcPr>
            <w:tcW w:w="1632"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z w:val="20"/>
                <w:szCs w:val="20"/>
              </w:rPr>
            </w:pPr>
            <w:r w:rsidRPr="00D50E91">
              <w:rPr>
                <w:sz w:val="20"/>
                <w:szCs w:val="20"/>
              </w:rPr>
              <w:t xml:space="preserve"> A</w:t>
            </w:r>
          </w:p>
        </w:tc>
        <w:tc>
          <w:tcPr>
            <w:tcW w:w="3264"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z w:val="20"/>
                <w:szCs w:val="20"/>
              </w:rPr>
            </w:pPr>
            <w:r w:rsidRPr="00D50E91">
              <w:rPr>
                <w:sz w:val="20"/>
                <w:szCs w:val="20"/>
              </w:rPr>
              <w:t xml:space="preserve"> B</w:t>
            </w:r>
          </w:p>
        </w:tc>
        <w:tc>
          <w:tcPr>
            <w:tcW w:w="1632"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z w:val="20"/>
                <w:szCs w:val="20"/>
              </w:rPr>
            </w:pPr>
            <w:r w:rsidRPr="00D50E91">
              <w:rPr>
                <w:sz w:val="20"/>
                <w:szCs w:val="20"/>
              </w:rPr>
              <w:t xml:space="preserve"> C</w:t>
            </w:r>
          </w:p>
        </w:tc>
        <w:tc>
          <w:tcPr>
            <w:tcW w:w="1634"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z w:val="20"/>
                <w:szCs w:val="20"/>
              </w:rPr>
            </w:pPr>
            <w:r w:rsidRPr="00D50E91">
              <w:rPr>
                <w:sz w:val="20"/>
                <w:szCs w:val="20"/>
              </w:rPr>
              <w:t xml:space="preserve"> D</w:t>
            </w:r>
          </w:p>
        </w:tc>
        <w:tc>
          <w:tcPr>
            <w:tcW w:w="1633"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z w:val="20"/>
                <w:szCs w:val="20"/>
              </w:rPr>
            </w:pPr>
            <w:r w:rsidRPr="00D50E91">
              <w:rPr>
                <w:sz w:val="20"/>
                <w:szCs w:val="20"/>
              </w:rPr>
              <w:t xml:space="preserve"> E</w:t>
            </w:r>
          </w:p>
        </w:tc>
        <w:tc>
          <w:tcPr>
            <w:tcW w:w="1634"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z w:val="20"/>
                <w:szCs w:val="20"/>
              </w:rPr>
            </w:pPr>
            <w:r w:rsidRPr="00D50E91">
              <w:rPr>
                <w:sz w:val="20"/>
                <w:szCs w:val="20"/>
              </w:rPr>
              <w:t xml:space="preserve"> F</w:t>
            </w:r>
          </w:p>
        </w:tc>
        <w:tc>
          <w:tcPr>
            <w:tcW w:w="1632"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z w:val="20"/>
                <w:szCs w:val="20"/>
              </w:rPr>
            </w:pPr>
            <w:r w:rsidRPr="00D50E91">
              <w:rPr>
                <w:sz w:val="20"/>
                <w:szCs w:val="20"/>
              </w:rPr>
              <w:t xml:space="preserve"> G</w:t>
            </w:r>
          </w:p>
        </w:tc>
      </w:tr>
      <w:tr w:rsidR="00CE4114" w:rsidRPr="00D50E91" w:rsidTr="00BA45D4">
        <w:tc>
          <w:tcPr>
            <w:tcW w:w="540"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z w:val="20"/>
                <w:szCs w:val="20"/>
              </w:rPr>
            </w:pPr>
            <w:r w:rsidRPr="00D50E91">
              <w:rPr>
                <w:sz w:val="20"/>
                <w:szCs w:val="20"/>
              </w:rPr>
              <w:t xml:space="preserve"> 1</w:t>
            </w:r>
          </w:p>
        </w:tc>
        <w:tc>
          <w:tcPr>
            <w:tcW w:w="1632"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rPr>
                <w:b/>
                <w:sz w:val="20"/>
                <w:szCs w:val="20"/>
              </w:rPr>
            </w:pPr>
            <w:r w:rsidRPr="00D50E91">
              <w:rPr>
                <w:b/>
                <w:sz w:val="20"/>
                <w:szCs w:val="20"/>
              </w:rPr>
              <w:t xml:space="preserve"> </w:t>
            </w:r>
          </w:p>
        </w:tc>
        <w:tc>
          <w:tcPr>
            <w:tcW w:w="3264" w:type="dxa"/>
            <w:tcBorders>
              <w:top w:val="single" w:sz="4" w:space="0" w:color="auto"/>
              <w:left w:val="single" w:sz="4" w:space="0" w:color="auto"/>
              <w:bottom w:val="nil"/>
              <w:right w:val="single" w:sz="4" w:space="0" w:color="auto"/>
            </w:tcBorders>
          </w:tcPr>
          <w:p w:rsidR="00CE4114" w:rsidRPr="00D50E91" w:rsidRDefault="00CE4114" w:rsidP="00BA45D4">
            <w:pPr>
              <w:autoSpaceDE w:val="0"/>
              <w:autoSpaceDN w:val="0"/>
              <w:adjustRightInd w:val="0"/>
              <w:rPr>
                <w:b/>
                <w:sz w:val="20"/>
                <w:szCs w:val="20"/>
              </w:rPr>
            </w:pPr>
            <w:r w:rsidRPr="00D50E91">
              <w:rPr>
                <w:b/>
                <w:sz w:val="20"/>
                <w:szCs w:val="20"/>
              </w:rPr>
              <w:t xml:space="preserve"> </w:t>
            </w:r>
          </w:p>
        </w:tc>
        <w:tc>
          <w:tcPr>
            <w:tcW w:w="8165" w:type="dxa"/>
            <w:gridSpan w:val="5"/>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b/>
                <w:sz w:val="20"/>
                <w:szCs w:val="20"/>
              </w:rPr>
            </w:pPr>
            <w:r w:rsidRPr="00D50E91">
              <w:rPr>
                <w:b/>
                <w:sz w:val="20"/>
                <w:szCs w:val="20"/>
              </w:rPr>
              <w:t xml:space="preserve"> A tűzszakasz megengedett legnagyobb alapterülete (m</w:t>
            </w:r>
            <w:r w:rsidRPr="00D50E91">
              <w:rPr>
                <w:b/>
                <w:sz w:val="20"/>
                <w:szCs w:val="20"/>
                <w:vertAlign w:val="superscript"/>
              </w:rPr>
              <w:t>2</w:t>
            </w:r>
            <w:r w:rsidRPr="00D50E91">
              <w:rPr>
                <w:b/>
                <w:sz w:val="20"/>
                <w:szCs w:val="20"/>
              </w:rPr>
              <w:t>),</w:t>
            </w:r>
            <w:r w:rsidRPr="00D50E91">
              <w:rPr>
                <w:b/>
                <w:sz w:val="20"/>
                <w:szCs w:val="20"/>
              </w:rPr>
              <w:br/>
              <w:t>beépített tűzoltó berendezés nélkül/tűzoltó berendezéssel</w:t>
            </w:r>
          </w:p>
        </w:tc>
      </w:tr>
      <w:tr w:rsidR="00CE4114" w:rsidRPr="00D50E91" w:rsidTr="00BA45D4">
        <w:tc>
          <w:tcPr>
            <w:tcW w:w="540"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z w:val="20"/>
                <w:szCs w:val="20"/>
              </w:rPr>
            </w:pPr>
            <w:r w:rsidRPr="00D50E91">
              <w:rPr>
                <w:sz w:val="20"/>
                <w:szCs w:val="20"/>
              </w:rPr>
              <w:t xml:space="preserve"> 2</w:t>
            </w:r>
          </w:p>
        </w:tc>
        <w:tc>
          <w:tcPr>
            <w:tcW w:w="1632"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rPr>
                <w:b/>
                <w:sz w:val="20"/>
                <w:szCs w:val="20"/>
              </w:rPr>
            </w:pPr>
            <w:r w:rsidRPr="00D50E91">
              <w:rPr>
                <w:b/>
                <w:sz w:val="20"/>
                <w:szCs w:val="20"/>
              </w:rPr>
              <w:t xml:space="preserve"> </w:t>
            </w:r>
          </w:p>
        </w:tc>
        <w:tc>
          <w:tcPr>
            <w:tcW w:w="3264" w:type="dxa"/>
            <w:tcBorders>
              <w:top w:val="nil"/>
              <w:left w:val="single" w:sz="4" w:space="0" w:color="auto"/>
              <w:bottom w:val="nil"/>
              <w:right w:val="single" w:sz="4" w:space="0" w:color="auto"/>
            </w:tcBorders>
          </w:tcPr>
          <w:p w:rsidR="00CE4114" w:rsidRPr="00D50E91" w:rsidRDefault="00CE4114" w:rsidP="00BA45D4">
            <w:pPr>
              <w:autoSpaceDE w:val="0"/>
              <w:autoSpaceDN w:val="0"/>
              <w:adjustRightInd w:val="0"/>
              <w:rPr>
                <w:b/>
                <w:sz w:val="20"/>
                <w:szCs w:val="20"/>
              </w:rPr>
            </w:pPr>
            <w:r w:rsidRPr="00D50E91">
              <w:rPr>
                <w:b/>
                <w:sz w:val="20"/>
                <w:szCs w:val="20"/>
              </w:rPr>
              <w:t xml:space="preserve"> </w:t>
            </w:r>
          </w:p>
        </w:tc>
        <w:tc>
          <w:tcPr>
            <w:tcW w:w="8165" w:type="dxa"/>
            <w:gridSpan w:val="5"/>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b/>
                <w:sz w:val="20"/>
                <w:szCs w:val="20"/>
              </w:rPr>
            </w:pPr>
            <w:r w:rsidRPr="00D50E91">
              <w:rPr>
                <w:b/>
                <w:sz w:val="20"/>
                <w:szCs w:val="20"/>
              </w:rPr>
              <w:t xml:space="preserve"> A kockázati egység kockázati osztálya</w:t>
            </w:r>
          </w:p>
        </w:tc>
      </w:tr>
      <w:tr w:rsidR="00CE4114" w:rsidRPr="00D50E91" w:rsidTr="00BA45D4">
        <w:tc>
          <w:tcPr>
            <w:tcW w:w="540"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z w:val="20"/>
                <w:szCs w:val="20"/>
              </w:rPr>
            </w:pPr>
            <w:r w:rsidRPr="00D50E91">
              <w:rPr>
                <w:sz w:val="20"/>
                <w:szCs w:val="20"/>
              </w:rPr>
              <w:t xml:space="preserve"> 3</w:t>
            </w:r>
          </w:p>
        </w:tc>
        <w:tc>
          <w:tcPr>
            <w:tcW w:w="1632"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rPr>
                <w:sz w:val="20"/>
                <w:szCs w:val="20"/>
              </w:rPr>
            </w:pPr>
            <w:r w:rsidRPr="00D50E91">
              <w:rPr>
                <w:sz w:val="20"/>
                <w:szCs w:val="20"/>
              </w:rPr>
              <w:t xml:space="preserve"> </w:t>
            </w:r>
          </w:p>
        </w:tc>
        <w:tc>
          <w:tcPr>
            <w:tcW w:w="3264" w:type="dxa"/>
            <w:tcBorders>
              <w:top w:val="nil"/>
              <w:left w:val="single" w:sz="4" w:space="0" w:color="auto"/>
              <w:bottom w:val="nil"/>
              <w:right w:val="single" w:sz="4" w:space="0" w:color="auto"/>
            </w:tcBorders>
          </w:tcPr>
          <w:p w:rsidR="00CE4114" w:rsidRPr="00D50E91" w:rsidRDefault="00CE4114" w:rsidP="00BA45D4">
            <w:pPr>
              <w:autoSpaceDE w:val="0"/>
              <w:autoSpaceDN w:val="0"/>
              <w:adjustRightInd w:val="0"/>
              <w:ind w:left="56" w:right="56"/>
              <w:jc w:val="center"/>
              <w:rPr>
                <w:b/>
                <w:sz w:val="20"/>
                <w:szCs w:val="20"/>
              </w:rPr>
            </w:pPr>
            <w:r w:rsidRPr="00D50E91">
              <w:rPr>
                <w:b/>
                <w:sz w:val="20"/>
                <w:szCs w:val="20"/>
              </w:rPr>
              <w:t xml:space="preserve"> Rendeltetés</w:t>
            </w:r>
          </w:p>
        </w:tc>
        <w:tc>
          <w:tcPr>
            <w:tcW w:w="3266" w:type="dxa"/>
            <w:gridSpan w:val="2"/>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z w:val="20"/>
                <w:szCs w:val="20"/>
              </w:rPr>
            </w:pPr>
            <w:r w:rsidRPr="00D50E91">
              <w:rPr>
                <w:sz w:val="20"/>
                <w:szCs w:val="20"/>
              </w:rPr>
              <w:t xml:space="preserve"> NAK</w:t>
            </w:r>
          </w:p>
        </w:tc>
        <w:tc>
          <w:tcPr>
            <w:tcW w:w="1633" w:type="dxa"/>
            <w:tcBorders>
              <w:top w:val="single" w:sz="4" w:space="0" w:color="auto"/>
              <w:left w:val="single" w:sz="4" w:space="0" w:color="auto"/>
              <w:bottom w:val="nil"/>
              <w:right w:val="single" w:sz="4" w:space="0" w:color="auto"/>
            </w:tcBorders>
          </w:tcPr>
          <w:p w:rsidR="00CE4114" w:rsidRPr="00D50E91" w:rsidRDefault="00CE4114" w:rsidP="00BA45D4">
            <w:pPr>
              <w:autoSpaceDE w:val="0"/>
              <w:autoSpaceDN w:val="0"/>
              <w:adjustRightInd w:val="0"/>
              <w:rPr>
                <w:sz w:val="20"/>
                <w:szCs w:val="20"/>
              </w:rPr>
            </w:pPr>
            <w:r w:rsidRPr="00D50E91">
              <w:rPr>
                <w:sz w:val="20"/>
                <w:szCs w:val="20"/>
              </w:rPr>
              <w:t xml:space="preserve"> </w:t>
            </w:r>
          </w:p>
        </w:tc>
        <w:tc>
          <w:tcPr>
            <w:tcW w:w="1634" w:type="dxa"/>
            <w:tcBorders>
              <w:top w:val="single" w:sz="4" w:space="0" w:color="auto"/>
              <w:left w:val="single" w:sz="4" w:space="0" w:color="auto"/>
              <w:bottom w:val="nil"/>
              <w:right w:val="single" w:sz="4" w:space="0" w:color="auto"/>
            </w:tcBorders>
          </w:tcPr>
          <w:p w:rsidR="00CE4114" w:rsidRPr="00D50E91" w:rsidRDefault="00CE4114" w:rsidP="00BA45D4">
            <w:pPr>
              <w:autoSpaceDE w:val="0"/>
              <w:autoSpaceDN w:val="0"/>
              <w:adjustRightInd w:val="0"/>
              <w:rPr>
                <w:sz w:val="20"/>
                <w:szCs w:val="20"/>
              </w:rPr>
            </w:pPr>
            <w:r w:rsidRPr="00D50E91">
              <w:rPr>
                <w:sz w:val="20"/>
                <w:szCs w:val="20"/>
              </w:rPr>
              <w:t xml:space="preserve"> </w:t>
            </w:r>
          </w:p>
        </w:tc>
        <w:tc>
          <w:tcPr>
            <w:tcW w:w="1632" w:type="dxa"/>
            <w:tcBorders>
              <w:top w:val="single" w:sz="4" w:space="0" w:color="auto"/>
              <w:left w:val="single" w:sz="4" w:space="0" w:color="auto"/>
              <w:bottom w:val="nil"/>
              <w:right w:val="single" w:sz="4" w:space="0" w:color="auto"/>
            </w:tcBorders>
          </w:tcPr>
          <w:p w:rsidR="00CE4114" w:rsidRPr="00D50E91" w:rsidRDefault="00CE4114" w:rsidP="00BA45D4">
            <w:pPr>
              <w:autoSpaceDE w:val="0"/>
              <w:autoSpaceDN w:val="0"/>
              <w:adjustRightInd w:val="0"/>
              <w:rPr>
                <w:sz w:val="20"/>
                <w:szCs w:val="20"/>
              </w:rPr>
            </w:pPr>
            <w:r w:rsidRPr="00D50E91">
              <w:rPr>
                <w:sz w:val="20"/>
                <w:szCs w:val="20"/>
              </w:rPr>
              <w:t xml:space="preserve"> </w:t>
            </w:r>
          </w:p>
        </w:tc>
      </w:tr>
      <w:tr w:rsidR="00CE4114" w:rsidRPr="00D50E91" w:rsidTr="00BA45D4">
        <w:tc>
          <w:tcPr>
            <w:tcW w:w="540"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z w:val="20"/>
                <w:szCs w:val="20"/>
              </w:rPr>
            </w:pPr>
            <w:r w:rsidRPr="00D50E91">
              <w:rPr>
                <w:sz w:val="20"/>
                <w:szCs w:val="20"/>
              </w:rPr>
              <w:t xml:space="preserve"> 4</w:t>
            </w:r>
          </w:p>
        </w:tc>
        <w:tc>
          <w:tcPr>
            <w:tcW w:w="1632"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rPr>
                <w:sz w:val="20"/>
                <w:szCs w:val="20"/>
              </w:rPr>
            </w:pPr>
            <w:r w:rsidRPr="00D50E91">
              <w:rPr>
                <w:sz w:val="20"/>
                <w:szCs w:val="20"/>
              </w:rPr>
              <w:t xml:space="preserve"> </w:t>
            </w:r>
          </w:p>
        </w:tc>
        <w:tc>
          <w:tcPr>
            <w:tcW w:w="3264" w:type="dxa"/>
            <w:tcBorders>
              <w:top w:val="nil"/>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rPr>
                <w:sz w:val="20"/>
                <w:szCs w:val="20"/>
              </w:rPr>
            </w:pPr>
            <w:r w:rsidRPr="00D50E91">
              <w:rPr>
                <w:sz w:val="20"/>
                <w:szCs w:val="20"/>
              </w:rPr>
              <w:t xml:space="preserve"> </w:t>
            </w:r>
          </w:p>
        </w:tc>
        <w:tc>
          <w:tcPr>
            <w:tcW w:w="1632"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z w:val="20"/>
                <w:szCs w:val="20"/>
              </w:rPr>
            </w:pPr>
            <w:r w:rsidRPr="00D50E91">
              <w:rPr>
                <w:sz w:val="20"/>
                <w:szCs w:val="20"/>
              </w:rPr>
              <w:t xml:space="preserve"> ha az épület mértékadó kockázata NAK</w:t>
            </w:r>
          </w:p>
        </w:tc>
        <w:tc>
          <w:tcPr>
            <w:tcW w:w="1634"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z w:val="20"/>
                <w:szCs w:val="20"/>
              </w:rPr>
            </w:pPr>
            <w:r w:rsidRPr="00D50E91">
              <w:rPr>
                <w:sz w:val="20"/>
                <w:szCs w:val="20"/>
              </w:rPr>
              <w:t xml:space="preserve"> ha az épület mértékadó kockázata</w:t>
            </w:r>
            <w:r w:rsidRPr="00D50E91">
              <w:rPr>
                <w:sz w:val="20"/>
                <w:szCs w:val="20"/>
              </w:rPr>
              <w:br/>
              <w:t>AK, KK vagy MK</w:t>
            </w:r>
          </w:p>
        </w:tc>
        <w:tc>
          <w:tcPr>
            <w:tcW w:w="1633" w:type="dxa"/>
            <w:tcBorders>
              <w:top w:val="nil"/>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z w:val="20"/>
                <w:szCs w:val="20"/>
              </w:rPr>
            </w:pPr>
            <w:r w:rsidRPr="00D50E91">
              <w:rPr>
                <w:sz w:val="20"/>
                <w:szCs w:val="20"/>
              </w:rPr>
              <w:t xml:space="preserve"> AK</w:t>
            </w:r>
          </w:p>
        </w:tc>
        <w:tc>
          <w:tcPr>
            <w:tcW w:w="1634" w:type="dxa"/>
            <w:tcBorders>
              <w:top w:val="nil"/>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z w:val="20"/>
                <w:szCs w:val="20"/>
              </w:rPr>
            </w:pPr>
            <w:r w:rsidRPr="00D50E91">
              <w:rPr>
                <w:sz w:val="20"/>
                <w:szCs w:val="20"/>
              </w:rPr>
              <w:t xml:space="preserve"> KK</w:t>
            </w:r>
          </w:p>
        </w:tc>
        <w:tc>
          <w:tcPr>
            <w:tcW w:w="1632" w:type="dxa"/>
            <w:tcBorders>
              <w:top w:val="nil"/>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z w:val="20"/>
                <w:szCs w:val="20"/>
              </w:rPr>
            </w:pPr>
            <w:r w:rsidRPr="00D50E91">
              <w:rPr>
                <w:sz w:val="20"/>
                <w:szCs w:val="20"/>
              </w:rPr>
              <w:t xml:space="preserve"> MK</w:t>
            </w:r>
          </w:p>
        </w:tc>
      </w:tr>
      <w:tr w:rsidR="00CE4114" w:rsidRPr="00D50E91" w:rsidTr="00BA45D4">
        <w:tc>
          <w:tcPr>
            <w:tcW w:w="540"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z w:val="20"/>
                <w:szCs w:val="20"/>
              </w:rPr>
            </w:pPr>
            <w:r w:rsidRPr="00D50E91">
              <w:rPr>
                <w:sz w:val="20"/>
                <w:szCs w:val="20"/>
              </w:rPr>
              <w:t xml:space="preserve"> 5</w:t>
            </w:r>
          </w:p>
        </w:tc>
        <w:tc>
          <w:tcPr>
            <w:tcW w:w="1632"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rPr>
                <w:sz w:val="20"/>
                <w:szCs w:val="20"/>
              </w:rPr>
            </w:pPr>
            <w:r w:rsidRPr="00D50E91">
              <w:rPr>
                <w:sz w:val="20"/>
                <w:szCs w:val="20"/>
              </w:rPr>
              <w:t xml:space="preserve"> Lakó, üdülő</w:t>
            </w:r>
          </w:p>
        </w:tc>
        <w:tc>
          <w:tcPr>
            <w:tcW w:w="3264"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rPr>
                <w:sz w:val="20"/>
                <w:szCs w:val="20"/>
              </w:rPr>
            </w:pPr>
            <w:r w:rsidRPr="00D50E91">
              <w:rPr>
                <w:sz w:val="20"/>
                <w:szCs w:val="20"/>
              </w:rPr>
              <w:t xml:space="preserve"> Lakás, üdülőegység</w:t>
            </w:r>
          </w:p>
        </w:tc>
        <w:tc>
          <w:tcPr>
            <w:tcW w:w="1632"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z w:val="20"/>
                <w:szCs w:val="20"/>
              </w:rPr>
            </w:pPr>
            <w:r w:rsidRPr="00D50E91">
              <w:rPr>
                <w:sz w:val="20"/>
                <w:szCs w:val="20"/>
              </w:rPr>
              <w:t xml:space="preserve"> 1 000/</w:t>
            </w:r>
            <w:r w:rsidR="003528A8">
              <w:rPr>
                <w:sz w:val="20"/>
                <w:szCs w:val="20"/>
              </w:rPr>
              <w:t>-</w:t>
            </w:r>
          </w:p>
        </w:tc>
        <w:tc>
          <w:tcPr>
            <w:tcW w:w="1634"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z w:val="20"/>
                <w:szCs w:val="20"/>
              </w:rPr>
            </w:pPr>
            <w:r w:rsidRPr="00D50E91">
              <w:rPr>
                <w:sz w:val="20"/>
                <w:szCs w:val="20"/>
              </w:rPr>
              <w:t xml:space="preserve"> 4 000/</w:t>
            </w:r>
            <w:r w:rsidR="003528A8">
              <w:rPr>
                <w:sz w:val="20"/>
                <w:szCs w:val="20"/>
              </w:rPr>
              <w:t>-</w:t>
            </w:r>
          </w:p>
        </w:tc>
        <w:tc>
          <w:tcPr>
            <w:tcW w:w="3267" w:type="dxa"/>
            <w:gridSpan w:val="2"/>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z w:val="20"/>
                <w:szCs w:val="20"/>
              </w:rPr>
            </w:pPr>
            <w:r w:rsidRPr="00D50E91">
              <w:rPr>
                <w:sz w:val="20"/>
                <w:szCs w:val="20"/>
              </w:rPr>
              <w:t xml:space="preserve"> 5 000/</w:t>
            </w:r>
            <w:r w:rsidR="003528A8">
              <w:rPr>
                <w:sz w:val="20"/>
                <w:szCs w:val="20"/>
              </w:rPr>
              <w:t>-</w:t>
            </w:r>
          </w:p>
        </w:tc>
        <w:tc>
          <w:tcPr>
            <w:tcW w:w="1632"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z w:val="20"/>
                <w:szCs w:val="20"/>
              </w:rPr>
            </w:pPr>
            <w:r w:rsidRPr="00D50E91">
              <w:rPr>
                <w:sz w:val="20"/>
                <w:szCs w:val="20"/>
              </w:rPr>
              <w:t xml:space="preserve"> 1 000/</w:t>
            </w:r>
            <w:r w:rsidR="003528A8">
              <w:rPr>
                <w:sz w:val="20"/>
                <w:szCs w:val="20"/>
              </w:rPr>
              <w:t>-</w:t>
            </w:r>
          </w:p>
        </w:tc>
      </w:tr>
      <w:tr w:rsidR="00CE4114" w:rsidRPr="00D50E91" w:rsidTr="00BA45D4">
        <w:tc>
          <w:tcPr>
            <w:tcW w:w="540"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z w:val="20"/>
                <w:szCs w:val="20"/>
              </w:rPr>
            </w:pPr>
            <w:r w:rsidRPr="00D50E91">
              <w:rPr>
                <w:sz w:val="20"/>
                <w:szCs w:val="20"/>
              </w:rPr>
              <w:t xml:space="preserve"> 6</w:t>
            </w:r>
          </w:p>
        </w:tc>
        <w:tc>
          <w:tcPr>
            <w:tcW w:w="1632" w:type="dxa"/>
            <w:vMerge w:val="restart"/>
            <w:tcBorders>
              <w:top w:val="single" w:sz="4" w:space="0" w:color="auto"/>
              <w:left w:val="single" w:sz="4" w:space="0" w:color="auto"/>
              <w:right w:val="single" w:sz="4" w:space="0" w:color="auto"/>
            </w:tcBorders>
          </w:tcPr>
          <w:p w:rsidR="00CE4114" w:rsidRPr="00D50E91" w:rsidRDefault="00CE4114" w:rsidP="00BA45D4">
            <w:pPr>
              <w:autoSpaceDE w:val="0"/>
              <w:autoSpaceDN w:val="0"/>
              <w:adjustRightInd w:val="0"/>
              <w:ind w:left="56" w:right="56"/>
              <w:rPr>
                <w:sz w:val="20"/>
                <w:szCs w:val="20"/>
              </w:rPr>
            </w:pPr>
            <w:r w:rsidRPr="00D50E91">
              <w:rPr>
                <w:sz w:val="20"/>
                <w:szCs w:val="20"/>
              </w:rPr>
              <w:t xml:space="preserve"> Szállás</w:t>
            </w:r>
          </w:p>
          <w:p w:rsidR="00CE4114" w:rsidRPr="00D50E91" w:rsidRDefault="00CE4114" w:rsidP="00BA45D4">
            <w:pPr>
              <w:autoSpaceDE w:val="0"/>
              <w:autoSpaceDN w:val="0"/>
              <w:adjustRightInd w:val="0"/>
              <w:ind w:left="56" w:right="56"/>
              <w:rPr>
                <w:sz w:val="20"/>
                <w:szCs w:val="20"/>
              </w:rPr>
            </w:pPr>
            <w:r w:rsidRPr="00D50E91">
              <w:rPr>
                <w:sz w:val="20"/>
                <w:szCs w:val="20"/>
              </w:rPr>
              <w:t xml:space="preserve"> </w:t>
            </w:r>
          </w:p>
        </w:tc>
        <w:tc>
          <w:tcPr>
            <w:tcW w:w="3264"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rPr>
                <w:sz w:val="20"/>
                <w:szCs w:val="20"/>
              </w:rPr>
            </w:pPr>
            <w:r w:rsidRPr="00D50E91">
              <w:rPr>
                <w:sz w:val="20"/>
                <w:szCs w:val="20"/>
              </w:rPr>
              <w:t>Kereskedelmi szálláshely,</w:t>
            </w:r>
            <w:r w:rsidRPr="00D50E91">
              <w:rPr>
                <w:sz w:val="20"/>
                <w:szCs w:val="20"/>
              </w:rPr>
              <w:br/>
              <w:t>jellemzően menekülésben nem korlátozott személyek részére szolgáló szálló, kollégium és lakóotthon,</w:t>
            </w:r>
          </w:p>
          <w:p w:rsidR="00CE4114" w:rsidRPr="00D50E91" w:rsidRDefault="00CE4114" w:rsidP="00BA45D4">
            <w:pPr>
              <w:autoSpaceDE w:val="0"/>
              <w:autoSpaceDN w:val="0"/>
              <w:adjustRightInd w:val="0"/>
              <w:ind w:left="56" w:right="56"/>
              <w:rPr>
                <w:sz w:val="20"/>
                <w:szCs w:val="20"/>
              </w:rPr>
            </w:pPr>
            <w:r w:rsidRPr="00D50E91">
              <w:rPr>
                <w:sz w:val="20"/>
                <w:szCs w:val="16"/>
              </w:rPr>
              <w:t>ideértve az akadálymentesített szálláshelyeket</w:t>
            </w:r>
          </w:p>
        </w:tc>
        <w:tc>
          <w:tcPr>
            <w:tcW w:w="1632"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z w:val="20"/>
                <w:szCs w:val="20"/>
              </w:rPr>
            </w:pPr>
            <w:r w:rsidRPr="00D50E91">
              <w:rPr>
                <w:sz w:val="20"/>
                <w:szCs w:val="20"/>
              </w:rPr>
              <w:t xml:space="preserve"> 750/1 500</w:t>
            </w:r>
          </w:p>
        </w:tc>
        <w:tc>
          <w:tcPr>
            <w:tcW w:w="1634"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z w:val="20"/>
                <w:szCs w:val="20"/>
              </w:rPr>
            </w:pPr>
            <w:r w:rsidRPr="00D50E91">
              <w:rPr>
                <w:sz w:val="20"/>
                <w:szCs w:val="20"/>
              </w:rPr>
              <w:t xml:space="preserve"> 4 000/8 000</w:t>
            </w:r>
          </w:p>
        </w:tc>
        <w:tc>
          <w:tcPr>
            <w:tcW w:w="1633"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z w:val="20"/>
                <w:szCs w:val="20"/>
              </w:rPr>
            </w:pPr>
            <w:r w:rsidRPr="00D50E91">
              <w:rPr>
                <w:sz w:val="20"/>
              </w:rPr>
              <w:t>4 000/8 000</w:t>
            </w:r>
          </w:p>
        </w:tc>
        <w:tc>
          <w:tcPr>
            <w:tcW w:w="1634"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z w:val="20"/>
                <w:szCs w:val="20"/>
              </w:rPr>
            </w:pPr>
            <w:r w:rsidRPr="00D50E91">
              <w:rPr>
                <w:sz w:val="20"/>
                <w:szCs w:val="20"/>
              </w:rPr>
              <w:t xml:space="preserve"> 3 000/6 000</w:t>
            </w:r>
          </w:p>
        </w:tc>
        <w:tc>
          <w:tcPr>
            <w:tcW w:w="1632"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z w:val="20"/>
                <w:szCs w:val="20"/>
              </w:rPr>
            </w:pPr>
            <w:r w:rsidRPr="00D50E91">
              <w:rPr>
                <w:sz w:val="20"/>
                <w:szCs w:val="20"/>
              </w:rPr>
              <w:t xml:space="preserve"> 1 000/1 500</w:t>
            </w:r>
          </w:p>
        </w:tc>
      </w:tr>
      <w:tr w:rsidR="00CE4114" w:rsidRPr="00D50E91" w:rsidTr="00BA45D4">
        <w:tc>
          <w:tcPr>
            <w:tcW w:w="540" w:type="dxa"/>
            <w:tcBorders>
              <w:top w:val="single" w:sz="4" w:space="0" w:color="auto"/>
              <w:left w:val="single" w:sz="4" w:space="0" w:color="auto"/>
              <w:bottom w:val="single" w:sz="4" w:space="0" w:color="auto"/>
              <w:right w:val="single" w:sz="4" w:space="0" w:color="auto"/>
            </w:tcBorders>
          </w:tcPr>
          <w:p w:rsidR="00CE4114" w:rsidRPr="00D50E91" w:rsidRDefault="00CE4114" w:rsidP="00CE4114">
            <w:pPr>
              <w:autoSpaceDE w:val="0"/>
              <w:autoSpaceDN w:val="0"/>
              <w:adjustRightInd w:val="0"/>
              <w:ind w:left="56" w:right="56"/>
              <w:jc w:val="center"/>
              <w:rPr>
                <w:sz w:val="20"/>
                <w:szCs w:val="20"/>
              </w:rPr>
            </w:pPr>
            <w:r w:rsidRPr="00D50E91">
              <w:rPr>
                <w:sz w:val="20"/>
                <w:szCs w:val="20"/>
              </w:rPr>
              <w:t xml:space="preserve"> 7</w:t>
            </w:r>
          </w:p>
        </w:tc>
        <w:tc>
          <w:tcPr>
            <w:tcW w:w="1632" w:type="dxa"/>
            <w:vMerge/>
            <w:tcBorders>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rPr>
                <w:sz w:val="20"/>
                <w:szCs w:val="20"/>
              </w:rPr>
            </w:pPr>
          </w:p>
        </w:tc>
        <w:tc>
          <w:tcPr>
            <w:tcW w:w="3264"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rPr>
                <w:sz w:val="20"/>
                <w:szCs w:val="20"/>
              </w:rPr>
            </w:pPr>
            <w:r w:rsidRPr="00D50E91">
              <w:rPr>
                <w:sz w:val="20"/>
                <w:szCs w:val="16"/>
              </w:rPr>
              <w:t>jellemzően menekülésben korlátozott személyeknek</w:t>
            </w:r>
          </w:p>
        </w:tc>
        <w:tc>
          <w:tcPr>
            <w:tcW w:w="1632" w:type="dxa"/>
            <w:tcBorders>
              <w:top w:val="single" w:sz="4" w:space="0" w:color="auto"/>
              <w:left w:val="single" w:sz="4" w:space="0" w:color="auto"/>
              <w:bottom w:val="single" w:sz="4" w:space="0" w:color="auto"/>
              <w:right w:val="single" w:sz="4" w:space="0" w:color="auto"/>
            </w:tcBorders>
          </w:tcPr>
          <w:p w:rsidR="00CE4114" w:rsidRPr="00D50E91" w:rsidRDefault="003528A8" w:rsidP="00BA45D4">
            <w:pPr>
              <w:autoSpaceDE w:val="0"/>
              <w:autoSpaceDN w:val="0"/>
              <w:adjustRightInd w:val="0"/>
              <w:ind w:left="56" w:right="56"/>
              <w:jc w:val="center"/>
              <w:rPr>
                <w:sz w:val="20"/>
                <w:szCs w:val="20"/>
              </w:rPr>
            </w:pPr>
            <w:r>
              <w:rPr>
                <w:sz w:val="20"/>
                <w:szCs w:val="20"/>
              </w:rPr>
              <w:t>-</w:t>
            </w:r>
          </w:p>
        </w:tc>
        <w:tc>
          <w:tcPr>
            <w:tcW w:w="1634" w:type="dxa"/>
            <w:tcBorders>
              <w:top w:val="single" w:sz="4" w:space="0" w:color="auto"/>
              <w:left w:val="single" w:sz="4" w:space="0" w:color="auto"/>
              <w:bottom w:val="single" w:sz="4" w:space="0" w:color="auto"/>
              <w:right w:val="single" w:sz="4" w:space="0" w:color="auto"/>
            </w:tcBorders>
          </w:tcPr>
          <w:p w:rsidR="00CE4114" w:rsidRPr="00D50E91" w:rsidRDefault="003528A8" w:rsidP="00BA45D4">
            <w:pPr>
              <w:autoSpaceDE w:val="0"/>
              <w:autoSpaceDN w:val="0"/>
              <w:adjustRightInd w:val="0"/>
              <w:ind w:left="56" w:right="56"/>
              <w:jc w:val="center"/>
              <w:rPr>
                <w:sz w:val="20"/>
                <w:szCs w:val="20"/>
              </w:rPr>
            </w:pPr>
            <w:r>
              <w:rPr>
                <w:sz w:val="20"/>
                <w:szCs w:val="20"/>
              </w:rPr>
              <w:t>-</w:t>
            </w:r>
          </w:p>
        </w:tc>
        <w:tc>
          <w:tcPr>
            <w:tcW w:w="1633"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z w:val="20"/>
                <w:szCs w:val="20"/>
              </w:rPr>
            </w:pPr>
            <w:r w:rsidRPr="00D50E91">
              <w:rPr>
                <w:sz w:val="20"/>
              </w:rPr>
              <w:t xml:space="preserve"> </w:t>
            </w:r>
            <w:r w:rsidRPr="00D50E91">
              <w:rPr>
                <w:sz w:val="20"/>
                <w:szCs w:val="20"/>
              </w:rPr>
              <w:t xml:space="preserve">1500/3000 </w:t>
            </w:r>
          </w:p>
        </w:tc>
        <w:tc>
          <w:tcPr>
            <w:tcW w:w="1634"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z w:val="20"/>
              </w:rPr>
            </w:pPr>
            <w:r w:rsidRPr="00D50E91">
              <w:rPr>
                <w:sz w:val="20"/>
              </w:rPr>
              <w:t>1 000/1 500</w:t>
            </w:r>
          </w:p>
          <w:p w:rsidR="00CE4114" w:rsidRPr="00D50E91" w:rsidRDefault="00CE4114" w:rsidP="00BA45D4">
            <w:pPr>
              <w:autoSpaceDE w:val="0"/>
              <w:autoSpaceDN w:val="0"/>
              <w:adjustRightInd w:val="0"/>
              <w:ind w:left="56" w:right="56"/>
              <w:jc w:val="center"/>
              <w:rPr>
                <w:sz w:val="20"/>
                <w:szCs w:val="20"/>
              </w:rPr>
            </w:pPr>
          </w:p>
        </w:tc>
        <w:tc>
          <w:tcPr>
            <w:tcW w:w="1632"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z w:val="20"/>
              </w:rPr>
            </w:pPr>
            <w:r w:rsidRPr="00D50E91">
              <w:rPr>
                <w:sz w:val="20"/>
              </w:rPr>
              <w:t xml:space="preserve"> 500/750</w:t>
            </w:r>
          </w:p>
          <w:p w:rsidR="00CE4114" w:rsidRPr="00D50E91" w:rsidRDefault="00CE4114" w:rsidP="00BA45D4">
            <w:pPr>
              <w:autoSpaceDE w:val="0"/>
              <w:autoSpaceDN w:val="0"/>
              <w:adjustRightInd w:val="0"/>
              <w:ind w:left="56" w:right="56"/>
              <w:jc w:val="center"/>
              <w:rPr>
                <w:sz w:val="20"/>
                <w:szCs w:val="20"/>
              </w:rPr>
            </w:pPr>
            <w:r w:rsidRPr="00D50E91">
              <w:rPr>
                <w:sz w:val="20"/>
              </w:rPr>
              <w:t xml:space="preserve"> </w:t>
            </w:r>
          </w:p>
        </w:tc>
      </w:tr>
      <w:tr w:rsidR="00CE4114" w:rsidRPr="00D50E91" w:rsidTr="00BA45D4">
        <w:tc>
          <w:tcPr>
            <w:tcW w:w="540" w:type="dxa"/>
            <w:tcBorders>
              <w:top w:val="single" w:sz="4" w:space="0" w:color="auto"/>
              <w:left w:val="single" w:sz="4" w:space="0" w:color="auto"/>
              <w:bottom w:val="single" w:sz="4" w:space="0" w:color="auto"/>
              <w:right w:val="single" w:sz="4" w:space="0" w:color="auto"/>
            </w:tcBorders>
          </w:tcPr>
          <w:p w:rsidR="00CE4114" w:rsidRPr="00D50E91" w:rsidRDefault="00CE4114" w:rsidP="00CE4114">
            <w:pPr>
              <w:autoSpaceDE w:val="0"/>
              <w:autoSpaceDN w:val="0"/>
              <w:adjustRightInd w:val="0"/>
              <w:ind w:left="56" w:right="56"/>
              <w:jc w:val="center"/>
              <w:rPr>
                <w:sz w:val="20"/>
                <w:szCs w:val="20"/>
              </w:rPr>
            </w:pPr>
            <w:r w:rsidRPr="00D50E91">
              <w:rPr>
                <w:sz w:val="20"/>
                <w:szCs w:val="20"/>
              </w:rPr>
              <w:t xml:space="preserve"> 8</w:t>
            </w:r>
          </w:p>
        </w:tc>
        <w:tc>
          <w:tcPr>
            <w:tcW w:w="1632"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rPr>
                <w:sz w:val="20"/>
                <w:szCs w:val="20"/>
              </w:rPr>
            </w:pPr>
            <w:r w:rsidRPr="00D50E91">
              <w:rPr>
                <w:sz w:val="20"/>
                <w:szCs w:val="20"/>
              </w:rPr>
              <w:t xml:space="preserve"> Iroda, igazgatás</w:t>
            </w:r>
          </w:p>
        </w:tc>
        <w:tc>
          <w:tcPr>
            <w:tcW w:w="3264" w:type="dxa"/>
            <w:tcBorders>
              <w:top w:val="single" w:sz="4" w:space="0" w:color="auto"/>
              <w:left w:val="single" w:sz="4" w:space="0" w:color="auto"/>
              <w:bottom w:val="single" w:sz="4" w:space="0" w:color="auto"/>
              <w:right w:val="single" w:sz="4" w:space="0" w:color="auto"/>
            </w:tcBorders>
          </w:tcPr>
          <w:p w:rsidR="00CE4114" w:rsidRPr="00D50E91" w:rsidRDefault="004F51FF" w:rsidP="00BA45D4">
            <w:pPr>
              <w:autoSpaceDE w:val="0"/>
              <w:autoSpaceDN w:val="0"/>
              <w:adjustRightInd w:val="0"/>
              <w:ind w:left="56" w:right="56"/>
              <w:rPr>
                <w:sz w:val="20"/>
                <w:szCs w:val="20"/>
              </w:rPr>
            </w:pPr>
            <w:r w:rsidRPr="00D50E91">
              <w:rPr>
                <w:sz w:val="20"/>
                <w:szCs w:val="20"/>
              </w:rPr>
              <w:t xml:space="preserve"> I</w:t>
            </w:r>
            <w:r w:rsidR="00CE4114" w:rsidRPr="00D50E91">
              <w:rPr>
                <w:sz w:val="20"/>
                <w:szCs w:val="20"/>
              </w:rPr>
              <w:t>roda, igazgatás, hivatal</w:t>
            </w:r>
          </w:p>
        </w:tc>
        <w:tc>
          <w:tcPr>
            <w:tcW w:w="1632"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z w:val="20"/>
                <w:szCs w:val="20"/>
              </w:rPr>
            </w:pPr>
            <w:r w:rsidRPr="00D50E91">
              <w:rPr>
                <w:sz w:val="20"/>
                <w:szCs w:val="20"/>
              </w:rPr>
              <w:t xml:space="preserve"> 1 000/2 000</w:t>
            </w:r>
          </w:p>
        </w:tc>
        <w:tc>
          <w:tcPr>
            <w:tcW w:w="1634"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z w:val="20"/>
                <w:szCs w:val="20"/>
              </w:rPr>
            </w:pPr>
            <w:r w:rsidRPr="00D50E91">
              <w:rPr>
                <w:sz w:val="20"/>
                <w:szCs w:val="20"/>
              </w:rPr>
              <w:t xml:space="preserve"> 4 000/8 000</w:t>
            </w:r>
          </w:p>
        </w:tc>
        <w:tc>
          <w:tcPr>
            <w:tcW w:w="3267" w:type="dxa"/>
            <w:gridSpan w:val="2"/>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z w:val="20"/>
                <w:szCs w:val="20"/>
              </w:rPr>
            </w:pPr>
            <w:r w:rsidRPr="00D50E91">
              <w:rPr>
                <w:sz w:val="20"/>
                <w:szCs w:val="20"/>
              </w:rPr>
              <w:t xml:space="preserve"> 3 000/6 000</w:t>
            </w:r>
          </w:p>
        </w:tc>
        <w:tc>
          <w:tcPr>
            <w:tcW w:w="1632"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z w:val="20"/>
                <w:szCs w:val="20"/>
              </w:rPr>
            </w:pPr>
            <w:r w:rsidRPr="00D50E91">
              <w:rPr>
                <w:sz w:val="20"/>
                <w:szCs w:val="20"/>
              </w:rPr>
              <w:t xml:space="preserve"> 1 000/1 500</w:t>
            </w:r>
          </w:p>
        </w:tc>
      </w:tr>
      <w:tr w:rsidR="00CE4114" w:rsidRPr="00D50E91" w:rsidTr="00BA45D4">
        <w:tc>
          <w:tcPr>
            <w:tcW w:w="540"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z w:val="20"/>
                <w:szCs w:val="20"/>
              </w:rPr>
            </w:pPr>
            <w:r w:rsidRPr="00D50E91">
              <w:rPr>
                <w:sz w:val="20"/>
                <w:szCs w:val="20"/>
              </w:rPr>
              <w:t xml:space="preserve"> 9</w:t>
            </w:r>
          </w:p>
        </w:tc>
        <w:tc>
          <w:tcPr>
            <w:tcW w:w="1632" w:type="dxa"/>
            <w:tcBorders>
              <w:top w:val="single" w:sz="4" w:space="0" w:color="auto"/>
              <w:left w:val="single" w:sz="4" w:space="0" w:color="auto"/>
              <w:bottom w:val="nil"/>
              <w:right w:val="single" w:sz="4" w:space="0" w:color="auto"/>
            </w:tcBorders>
          </w:tcPr>
          <w:p w:rsidR="00CE4114" w:rsidRPr="00D50E91" w:rsidRDefault="00CE4114" w:rsidP="00BA45D4">
            <w:pPr>
              <w:autoSpaceDE w:val="0"/>
              <w:autoSpaceDN w:val="0"/>
              <w:adjustRightInd w:val="0"/>
              <w:rPr>
                <w:sz w:val="20"/>
                <w:szCs w:val="20"/>
              </w:rPr>
            </w:pPr>
            <w:r w:rsidRPr="00D50E91">
              <w:rPr>
                <w:sz w:val="20"/>
                <w:szCs w:val="20"/>
              </w:rPr>
              <w:t xml:space="preserve"> </w:t>
            </w:r>
          </w:p>
        </w:tc>
        <w:tc>
          <w:tcPr>
            <w:tcW w:w="3264" w:type="dxa"/>
            <w:tcBorders>
              <w:top w:val="single" w:sz="4" w:space="0" w:color="auto"/>
              <w:left w:val="single" w:sz="4" w:space="0" w:color="auto"/>
              <w:bottom w:val="single" w:sz="4" w:space="0" w:color="auto"/>
              <w:right w:val="single" w:sz="4" w:space="0" w:color="auto"/>
            </w:tcBorders>
          </w:tcPr>
          <w:p w:rsidR="00CE4114" w:rsidRPr="00D50E91" w:rsidRDefault="00CE4114" w:rsidP="00107BB1">
            <w:pPr>
              <w:autoSpaceDE w:val="0"/>
              <w:autoSpaceDN w:val="0"/>
              <w:adjustRightInd w:val="0"/>
              <w:ind w:left="56" w:right="56"/>
              <w:rPr>
                <w:sz w:val="20"/>
                <w:szCs w:val="20"/>
              </w:rPr>
            </w:pPr>
            <w:r w:rsidRPr="00D50E91">
              <w:rPr>
                <w:sz w:val="20"/>
                <w:szCs w:val="20"/>
              </w:rPr>
              <w:t xml:space="preserve"> jellemzően menekülésben korlátozott személyeknek, ha a menekülési képességet a </w:t>
            </w:r>
            <w:r w:rsidR="00107BB1" w:rsidRPr="00D50E91">
              <w:rPr>
                <w:sz w:val="20"/>
                <w:szCs w:val="20"/>
              </w:rPr>
              <w:t>6 év alatti életkor korlátozza,</w:t>
            </w:r>
          </w:p>
        </w:tc>
        <w:tc>
          <w:tcPr>
            <w:tcW w:w="1632"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z w:val="20"/>
                <w:szCs w:val="20"/>
              </w:rPr>
            </w:pPr>
            <w:r w:rsidRPr="00D50E91">
              <w:rPr>
                <w:sz w:val="20"/>
                <w:szCs w:val="20"/>
              </w:rPr>
              <w:t xml:space="preserve"> </w:t>
            </w:r>
            <w:r w:rsidR="003528A8">
              <w:rPr>
                <w:sz w:val="20"/>
                <w:szCs w:val="20"/>
              </w:rPr>
              <w:t>-</w:t>
            </w:r>
          </w:p>
        </w:tc>
        <w:tc>
          <w:tcPr>
            <w:tcW w:w="1634"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z w:val="20"/>
                <w:szCs w:val="20"/>
              </w:rPr>
            </w:pPr>
            <w:r w:rsidRPr="00D50E91">
              <w:rPr>
                <w:sz w:val="20"/>
                <w:szCs w:val="20"/>
              </w:rPr>
              <w:t xml:space="preserve"> </w:t>
            </w:r>
            <w:r w:rsidR="003528A8">
              <w:rPr>
                <w:sz w:val="20"/>
                <w:szCs w:val="20"/>
              </w:rPr>
              <w:t>-</w:t>
            </w:r>
          </w:p>
        </w:tc>
        <w:tc>
          <w:tcPr>
            <w:tcW w:w="1633"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z w:val="20"/>
                <w:szCs w:val="20"/>
              </w:rPr>
            </w:pPr>
            <w:r w:rsidRPr="00D50E91">
              <w:rPr>
                <w:sz w:val="20"/>
                <w:szCs w:val="20"/>
              </w:rPr>
              <w:t>1 500/3000</w:t>
            </w:r>
          </w:p>
        </w:tc>
        <w:tc>
          <w:tcPr>
            <w:tcW w:w="1634"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z w:val="20"/>
                <w:szCs w:val="20"/>
              </w:rPr>
            </w:pPr>
            <w:r w:rsidRPr="00D50E91">
              <w:rPr>
                <w:sz w:val="20"/>
                <w:szCs w:val="20"/>
              </w:rPr>
              <w:t xml:space="preserve">1000/1500 </w:t>
            </w:r>
          </w:p>
        </w:tc>
        <w:tc>
          <w:tcPr>
            <w:tcW w:w="1632"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z w:val="20"/>
                <w:szCs w:val="20"/>
              </w:rPr>
            </w:pPr>
            <w:r w:rsidRPr="00D50E91">
              <w:rPr>
                <w:sz w:val="20"/>
                <w:szCs w:val="20"/>
              </w:rPr>
              <w:t xml:space="preserve">500/750 </w:t>
            </w:r>
          </w:p>
        </w:tc>
      </w:tr>
      <w:tr w:rsidR="00CE4114" w:rsidRPr="00D50E91" w:rsidTr="00107BB1">
        <w:tc>
          <w:tcPr>
            <w:tcW w:w="540" w:type="dxa"/>
            <w:tcBorders>
              <w:top w:val="single" w:sz="4" w:space="0" w:color="auto"/>
              <w:left w:val="single" w:sz="4" w:space="0" w:color="auto"/>
              <w:bottom w:val="single" w:sz="4" w:space="0" w:color="auto"/>
              <w:right w:val="single" w:sz="4" w:space="0" w:color="auto"/>
            </w:tcBorders>
            <w:shd w:val="clear" w:color="auto" w:fill="auto"/>
          </w:tcPr>
          <w:p w:rsidR="00CE4114" w:rsidRPr="00D50E91" w:rsidRDefault="00CE4114" w:rsidP="00CE4114">
            <w:pPr>
              <w:autoSpaceDE w:val="0"/>
              <w:autoSpaceDN w:val="0"/>
              <w:adjustRightInd w:val="0"/>
              <w:ind w:left="56" w:right="56"/>
              <w:jc w:val="center"/>
              <w:rPr>
                <w:sz w:val="20"/>
                <w:szCs w:val="20"/>
              </w:rPr>
            </w:pPr>
            <w:r w:rsidRPr="00D50E91">
              <w:rPr>
                <w:sz w:val="20"/>
                <w:szCs w:val="20"/>
              </w:rPr>
              <w:t xml:space="preserve"> 10</w:t>
            </w:r>
          </w:p>
        </w:tc>
        <w:tc>
          <w:tcPr>
            <w:tcW w:w="1632" w:type="dxa"/>
            <w:tcBorders>
              <w:top w:val="nil"/>
              <w:left w:val="single" w:sz="4" w:space="0" w:color="auto"/>
              <w:bottom w:val="nil"/>
              <w:right w:val="single" w:sz="4" w:space="0" w:color="auto"/>
            </w:tcBorders>
            <w:shd w:val="clear" w:color="auto" w:fill="auto"/>
          </w:tcPr>
          <w:p w:rsidR="00CE4114" w:rsidRPr="00D50E91" w:rsidRDefault="00CE4114" w:rsidP="00BA45D4">
            <w:pPr>
              <w:autoSpaceDE w:val="0"/>
              <w:autoSpaceDN w:val="0"/>
              <w:adjustRightInd w:val="0"/>
              <w:ind w:left="56" w:right="56"/>
              <w:rPr>
                <w:sz w:val="20"/>
                <w:szCs w:val="20"/>
              </w:rPr>
            </w:pPr>
            <w:r w:rsidRPr="00D50E91">
              <w:rPr>
                <w:sz w:val="20"/>
                <w:szCs w:val="20"/>
              </w:rPr>
              <w:t xml:space="preserve"> Oktatás, nevelés, gyermekfoglalkoztatás és ellátás</w:t>
            </w:r>
          </w:p>
        </w:tc>
        <w:tc>
          <w:tcPr>
            <w:tcW w:w="3264" w:type="dxa"/>
            <w:tcBorders>
              <w:top w:val="single" w:sz="4" w:space="0" w:color="auto"/>
              <w:left w:val="single" w:sz="4" w:space="0" w:color="auto"/>
              <w:bottom w:val="single" w:sz="4" w:space="0" w:color="auto"/>
              <w:right w:val="single" w:sz="4" w:space="0" w:color="auto"/>
            </w:tcBorders>
            <w:shd w:val="clear" w:color="auto" w:fill="auto"/>
          </w:tcPr>
          <w:p w:rsidR="00CE4114" w:rsidRPr="00D50E91" w:rsidRDefault="00CE4114" w:rsidP="00BA45D4">
            <w:pPr>
              <w:autoSpaceDE w:val="0"/>
              <w:autoSpaceDN w:val="0"/>
              <w:adjustRightInd w:val="0"/>
              <w:ind w:left="56" w:right="56"/>
              <w:rPr>
                <w:sz w:val="20"/>
                <w:szCs w:val="20"/>
              </w:rPr>
            </w:pPr>
            <w:r w:rsidRPr="00D50E91">
              <w:rPr>
                <w:sz w:val="20"/>
                <w:szCs w:val="20"/>
              </w:rPr>
              <w:t>jellemzően menekülésben korlátozott személyeknek, ha a menekülés</w:t>
            </w:r>
            <w:r w:rsidR="004F51FF" w:rsidRPr="00D50E91">
              <w:rPr>
                <w:sz w:val="20"/>
                <w:szCs w:val="20"/>
              </w:rPr>
              <w:t>i képességet a 6</w:t>
            </w:r>
            <w:r w:rsidR="003528A8">
              <w:rPr>
                <w:sz w:val="20"/>
                <w:szCs w:val="20"/>
              </w:rPr>
              <w:t>-</w:t>
            </w:r>
            <w:r w:rsidR="004F51FF" w:rsidRPr="00D50E91">
              <w:rPr>
                <w:sz w:val="20"/>
                <w:szCs w:val="20"/>
              </w:rPr>
              <w:t xml:space="preserve">10 év közötti </w:t>
            </w:r>
            <w:r w:rsidRPr="00D50E91">
              <w:rPr>
                <w:sz w:val="20"/>
                <w:szCs w:val="20"/>
              </w:rPr>
              <w:t>életkor korlátozza, továbbá jellemzően menekülésben nem korlátozott személyeknek, beleértve az akadálymentes környezetet</w:t>
            </w: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CE4114" w:rsidRPr="00D50E91" w:rsidRDefault="00CE4114" w:rsidP="00BA45D4">
            <w:pPr>
              <w:autoSpaceDE w:val="0"/>
              <w:autoSpaceDN w:val="0"/>
              <w:adjustRightInd w:val="0"/>
              <w:ind w:left="56" w:right="56"/>
              <w:jc w:val="center"/>
              <w:rPr>
                <w:sz w:val="20"/>
                <w:szCs w:val="20"/>
              </w:rPr>
            </w:pPr>
            <w:r w:rsidRPr="00D50E91">
              <w:rPr>
                <w:sz w:val="20"/>
                <w:szCs w:val="20"/>
              </w:rPr>
              <w:t xml:space="preserve"> 1 000/2 000</w:t>
            </w:r>
          </w:p>
        </w:tc>
        <w:tc>
          <w:tcPr>
            <w:tcW w:w="1634" w:type="dxa"/>
            <w:tcBorders>
              <w:top w:val="single" w:sz="4" w:space="0" w:color="auto"/>
              <w:left w:val="single" w:sz="4" w:space="0" w:color="auto"/>
              <w:bottom w:val="single" w:sz="4" w:space="0" w:color="auto"/>
              <w:right w:val="single" w:sz="4" w:space="0" w:color="auto"/>
            </w:tcBorders>
            <w:shd w:val="clear" w:color="auto" w:fill="auto"/>
          </w:tcPr>
          <w:p w:rsidR="00CE4114" w:rsidRPr="00D50E91" w:rsidRDefault="00CE4114" w:rsidP="00BA45D4">
            <w:pPr>
              <w:autoSpaceDE w:val="0"/>
              <w:autoSpaceDN w:val="0"/>
              <w:adjustRightInd w:val="0"/>
              <w:ind w:left="56" w:right="56"/>
              <w:jc w:val="center"/>
              <w:rPr>
                <w:sz w:val="20"/>
                <w:szCs w:val="20"/>
              </w:rPr>
            </w:pPr>
            <w:r w:rsidRPr="00D50E91">
              <w:rPr>
                <w:sz w:val="20"/>
                <w:szCs w:val="20"/>
              </w:rPr>
              <w:t xml:space="preserve"> 4 000/8 000</w:t>
            </w:r>
          </w:p>
        </w:tc>
        <w:tc>
          <w:tcPr>
            <w:tcW w:w="3267" w:type="dxa"/>
            <w:gridSpan w:val="2"/>
            <w:tcBorders>
              <w:top w:val="single" w:sz="4" w:space="0" w:color="auto"/>
              <w:left w:val="single" w:sz="4" w:space="0" w:color="auto"/>
              <w:bottom w:val="single" w:sz="4" w:space="0" w:color="auto"/>
              <w:right w:val="single" w:sz="4" w:space="0" w:color="auto"/>
            </w:tcBorders>
            <w:shd w:val="clear" w:color="auto" w:fill="auto"/>
          </w:tcPr>
          <w:p w:rsidR="00CE4114" w:rsidRPr="00D50E91" w:rsidRDefault="00CE4114" w:rsidP="00BA45D4">
            <w:pPr>
              <w:autoSpaceDE w:val="0"/>
              <w:autoSpaceDN w:val="0"/>
              <w:adjustRightInd w:val="0"/>
              <w:ind w:left="56" w:right="56"/>
              <w:jc w:val="center"/>
              <w:rPr>
                <w:sz w:val="20"/>
                <w:szCs w:val="20"/>
              </w:rPr>
            </w:pPr>
            <w:r w:rsidRPr="00D50E91">
              <w:rPr>
                <w:sz w:val="20"/>
                <w:szCs w:val="20"/>
              </w:rPr>
              <w:t xml:space="preserve"> 3 000/6 000</w:t>
            </w: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CE4114" w:rsidRPr="00D50E91" w:rsidRDefault="00CE4114" w:rsidP="00BA45D4">
            <w:pPr>
              <w:autoSpaceDE w:val="0"/>
              <w:autoSpaceDN w:val="0"/>
              <w:adjustRightInd w:val="0"/>
              <w:ind w:left="56" w:right="56"/>
              <w:jc w:val="center"/>
              <w:rPr>
                <w:sz w:val="20"/>
                <w:szCs w:val="20"/>
              </w:rPr>
            </w:pPr>
            <w:r w:rsidRPr="00D50E91">
              <w:rPr>
                <w:sz w:val="20"/>
                <w:szCs w:val="20"/>
              </w:rPr>
              <w:t xml:space="preserve"> 1 000/1 500</w:t>
            </w:r>
          </w:p>
        </w:tc>
      </w:tr>
      <w:tr w:rsidR="00CE4114" w:rsidRPr="00D50E91" w:rsidTr="00BA45D4">
        <w:tc>
          <w:tcPr>
            <w:tcW w:w="540" w:type="dxa"/>
            <w:tcBorders>
              <w:top w:val="single" w:sz="4" w:space="0" w:color="auto"/>
              <w:left w:val="single" w:sz="4" w:space="0" w:color="auto"/>
              <w:bottom w:val="single" w:sz="4" w:space="0" w:color="auto"/>
              <w:right w:val="single" w:sz="4" w:space="0" w:color="auto"/>
            </w:tcBorders>
          </w:tcPr>
          <w:p w:rsidR="00CE4114" w:rsidRPr="00D50E91" w:rsidRDefault="00CE4114" w:rsidP="00CE4114">
            <w:pPr>
              <w:autoSpaceDE w:val="0"/>
              <w:autoSpaceDN w:val="0"/>
              <w:adjustRightInd w:val="0"/>
              <w:ind w:left="56" w:right="56"/>
              <w:jc w:val="center"/>
              <w:rPr>
                <w:sz w:val="20"/>
                <w:szCs w:val="20"/>
              </w:rPr>
            </w:pPr>
            <w:r w:rsidRPr="00D50E91">
              <w:rPr>
                <w:sz w:val="20"/>
                <w:szCs w:val="20"/>
              </w:rPr>
              <w:t xml:space="preserve"> 11</w:t>
            </w:r>
          </w:p>
        </w:tc>
        <w:tc>
          <w:tcPr>
            <w:tcW w:w="1632" w:type="dxa"/>
            <w:tcBorders>
              <w:top w:val="nil"/>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rPr>
                <w:sz w:val="20"/>
                <w:szCs w:val="20"/>
              </w:rPr>
            </w:pPr>
            <w:r w:rsidRPr="00D50E91">
              <w:rPr>
                <w:sz w:val="20"/>
                <w:szCs w:val="20"/>
              </w:rPr>
              <w:t xml:space="preserve"> </w:t>
            </w:r>
          </w:p>
        </w:tc>
        <w:tc>
          <w:tcPr>
            <w:tcW w:w="3264"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rPr>
                <w:sz w:val="20"/>
                <w:szCs w:val="20"/>
              </w:rPr>
            </w:pPr>
            <w:r w:rsidRPr="00D50E91">
              <w:rPr>
                <w:sz w:val="20"/>
                <w:szCs w:val="20"/>
              </w:rPr>
              <w:t xml:space="preserve">jellemzően menekülésben korlátozott személyeknek, ha menekülési képességet nem életkortól függő </w:t>
            </w:r>
            <w:r w:rsidRPr="00D50E91">
              <w:rPr>
                <w:sz w:val="20"/>
                <w:szCs w:val="20"/>
              </w:rPr>
              <w:lastRenderedPageBreak/>
              <w:t>körülmény korlátozza</w:t>
            </w:r>
          </w:p>
        </w:tc>
        <w:tc>
          <w:tcPr>
            <w:tcW w:w="1632"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z w:val="20"/>
                <w:szCs w:val="20"/>
              </w:rPr>
            </w:pPr>
            <w:r w:rsidRPr="00D50E91">
              <w:rPr>
                <w:sz w:val="20"/>
                <w:szCs w:val="20"/>
              </w:rPr>
              <w:lastRenderedPageBreak/>
              <w:t xml:space="preserve"> </w:t>
            </w:r>
            <w:r w:rsidR="003528A8">
              <w:rPr>
                <w:sz w:val="20"/>
                <w:szCs w:val="20"/>
              </w:rPr>
              <w:t>-</w:t>
            </w:r>
          </w:p>
        </w:tc>
        <w:tc>
          <w:tcPr>
            <w:tcW w:w="1634"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z w:val="20"/>
                <w:szCs w:val="20"/>
              </w:rPr>
            </w:pPr>
            <w:r w:rsidRPr="00D50E91">
              <w:rPr>
                <w:sz w:val="20"/>
                <w:szCs w:val="20"/>
              </w:rPr>
              <w:t xml:space="preserve"> </w:t>
            </w:r>
            <w:r w:rsidR="003528A8">
              <w:rPr>
                <w:sz w:val="20"/>
                <w:szCs w:val="20"/>
              </w:rPr>
              <w:t>-</w:t>
            </w:r>
          </w:p>
        </w:tc>
        <w:tc>
          <w:tcPr>
            <w:tcW w:w="1633"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z w:val="20"/>
                <w:szCs w:val="20"/>
              </w:rPr>
            </w:pPr>
            <w:r w:rsidRPr="00D50E91">
              <w:rPr>
                <w:sz w:val="20"/>
                <w:szCs w:val="20"/>
              </w:rPr>
              <w:t xml:space="preserve"> </w:t>
            </w:r>
            <w:r w:rsidR="003528A8">
              <w:rPr>
                <w:sz w:val="20"/>
                <w:szCs w:val="20"/>
              </w:rPr>
              <w:t>-</w:t>
            </w:r>
          </w:p>
        </w:tc>
        <w:tc>
          <w:tcPr>
            <w:tcW w:w="1634"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z w:val="20"/>
                <w:szCs w:val="20"/>
              </w:rPr>
            </w:pPr>
            <w:r w:rsidRPr="00D50E91">
              <w:rPr>
                <w:sz w:val="20"/>
                <w:szCs w:val="20"/>
              </w:rPr>
              <w:t xml:space="preserve"> 1 000/1 500</w:t>
            </w:r>
          </w:p>
        </w:tc>
        <w:tc>
          <w:tcPr>
            <w:tcW w:w="1632"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z w:val="20"/>
                <w:szCs w:val="20"/>
              </w:rPr>
            </w:pPr>
            <w:r w:rsidRPr="00D50E91">
              <w:rPr>
                <w:sz w:val="20"/>
                <w:szCs w:val="20"/>
              </w:rPr>
              <w:t xml:space="preserve"> 1 000/1 500</w:t>
            </w:r>
          </w:p>
        </w:tc>
      </w:tr>
      <w:tr w:rsidR="00CE4114" w:rsidRPr="00D50E91" w:rsidTr="00BA45D4">
        <w:tc>
          <w:tcPr>
            <w:tcW w:w="540" w:type="dxa"/>
            <w:tcBorders>
              <w:top w:val="single" w:sz="4" w:space="0" w:color="auto"/>
              <w:left w:val="single" w:sz="4" w:space="0" w:color="auto"/>
              <w:bottom w:val="single" w:sz="4" w:space="0" w:color="auto"/>
              <w:right w:val="single" w:sz="4" w:space="0" w:color="auto"/>
            </w:tcBorders>
          </w:tcPr>
          <w:p w:rsidR="00CE4114" w:rsidRPr="00D50E91" w:rsidRDefault="00CE4114" w:rsidP="00CE4114">
            <w:pPr>
              <w:autoSpaceDE w:val="0"/>
              <w:autoSpaceDN w:val="0"/>
              <w:adjustRightInd w:val="0"/>
              <w:ind w:left="56" w:right="56"/>
              <w:jc w:val="center"/>
              <w:rPr>
                <w:sz w:val="20"/>
                <w:szCs w:val="20"/>
              </w:rPr>
            </w:pPr>
            <w:r w:rsidRPr="00D50E91">
              <w:rPr>
                <w:sz w:val="20"/>
                <w:szCs w:val="20"/>
              </w:rPr>
              <w:lastRenderedPageBreak/>
              <w:t xml:space="preserve"> 12</w:t>
            </w:r>
          </w:p>
        </w:tc>
        <w:tc>
          <w:tcPr>
            <w:tcW w:w="1632" w:type="dxa"/>
            <w:tcBorders>
              <w:top w:val="single" w:sz="4" w:space="0" w:color="auto"/>
              <w:left w:val="single" w:sz="4" w:space="0" w:color="auto"/>
              <w:bottom w:val="nil"/>
              <w:right w:val="single" w:sz="4" w:space="0" w:color="auto"/>
            </w:tcBorders>
          </w:tcPr>
          <w:p w:rsidR="00CE4114" w:rsidRPr="00D50E91" w:rsidRDefault="00CE4114" w:rsidP="00BA45D4">
            <w:pPr>
              <w:autoSpaceDE w:val="0"/>
              <w:autoSpaceDN w:val="0"/>
              <w:adjustRightInd w:val="0"/>
              <w:ind w:left="56" w:right="56"/>
              <w:rPr>
                <w:sz w:val="20"/>
                <w:szCs w:val="20"/>
              </w:rPr>
            </w:pPr>
            <w:r w:rsidRPr="00D50E91">
              <w:rPr>
                <w:sz w:val="20"/>
                <w:szCs w:val="20"/>
              </w:rPr>
              <w:t xml:space="preserve"> Egészségügyi</w:t>
            </w:r>
          </w:p>
          <w:p w:rsidR="00CE4114" w:rsidRPr="00D50E91" w:rsidRDefault="00CE4114" w:rsidP="00BA45D4">
            <w:pPr>
              <w:autoSpaceDE w:val="0"/>
              <w:autoSpaceDN w:val="0"/>
              <w:adjustRightInd w:val="0"/>
              <w:ind w:left="56" w:right="56"/>
              <w:rPr>
                <w:sz w:val="20"/>
                <w:szCs w:val="20"/>
              </w:rPr>
            </w:pPr>
          </w:p>
        </w:tc>
        <w:tc>
          <w:tcPr>
            <w:tcW w:w="3264"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rPr>
                <w:sz w:val="20"/>
                <w:szCs w:val="20"/>
              </w:rPr>
            </w:pPr>
            <w:r w:rsidRPr="00D50E91">
              <w:rPr>
                <w:sz w:val="20"/>
                <w:szCs w:val="20"/>
              </w:rPr>
              <w:t xml:space="preserve"> Kizárólag járóbeteg</w:t>
            </w:r>
            <w:r w:rsidR="003528A8">
              <w:rPr>
                <w:sz w:val="20"/>
                <w:szCs w:val="20"/>
              </w:rPr>
              <w:t>-</w:t>
            </w:r>
            <w:r w:rsidRPr="00D50E91">
              <w:rPr>
                <w:sz w:val="20"/>
                <w:szCs w:val="20"/>
              </w:rPr>
              <w:t>ellátás</w:t>
            </w:r>
          </w:p>
        </w:tc>
        <w:tc>
          <w:tcPr>
            <w:tcW w:w="1632"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z w:val="20"/>
                <w:szCs w:val="20"/>
              </w:rPr>
            </w:pPr>
            <w:r w:rsidRPr="00D50E91">
              <w:rPr>
                <w:sz w:val="20"/>
                <w:szCs w:val="20"/>
              </w:rPr>
              <w:t xml:space="preserve"> 750/1 500</w:t>
            </w:r>
          </w:p>
        </w:tc>
        <w:tc>
          <w:tcPr>
            <w:tcW w:w="1634"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z w:val="20"/>
                <w:szCs w:val="20"/>
              </w:rPr>
            </w:pPr>
            <w:r w:rsidRPr="00D50E91">
              <w:rPr>
                <w:sz w:val="20"/>
                <w:szCs w:val="20"/>
              </w:rPr>
              <w:t xml:space="preserve"> 4 000/8 000</w:t>
            </w:r>
          </w:p>
        </w:tc>
        <w:tc>
          <w:tcPr>
            <w:tcW w:w="3267" w:type="dxa"/>
            <w:gridSpan w:val="2"/>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z w:val="20"/>
                <w:szCs w:val="20"/>
              </w:rPr>
            </w:pPr>
            <w:r w:rsidRPr="00D50E91">
              <w:rPr>
                <w:sz w:val="20"/>
                <w:szCs w:val="20"/>
              </w:rPr>
              <w:t xml:space="preserve"> 3 000/6 000</w:t>
            </w:r>
          </w:p>
        </w:tc>
        <w:tc>
          <w:tcPr>
            <w:tcW w:w="1632"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z w:val="20"/>
                <w:szCs w:val="20"/>
              </w:rPr>
            </w:pPr>
            <w:r w:rsidRPr="00D50E91">
              <w:rPr>
                <w:sz w:val="20"/>
                <w:szCs w:val="20"/>
              </w:rPr>
              <w:t xml:space="preserve"> 1 000/1 500</w:t>
            </w:r>
          </w:p>
        </w:tc>
      </w:tr>
      <w:tr w:rsidR="00CE4114" w:rsidRPr="00D50E91" w:rsidTr="00BA45D4">
        <w:tc>
          <w:tcPr>
            <w:tcW w:w="540" w:type="dxa"/>
            <w:tcBorders>
              <w:top w:val="single" w:sz="4" w:space="0" w:color="auto"/>
              <w:left w:val="single" w:sz="4" w:space="0" w:color="auto"/>
              <w:bottom w:val="single" w:sz="4" w:space="0" w:color="auto"/>
              <w:right w:val="single" w:sz="4" w:space="0" w:color="auto"/>
            </w:tcBorders>
          </w:tcPr>
          <w:p w:rsidR="00CE4114" w:rsidRPr="00D50E91" w:rsidRDefault="00CE4114" w:rsidP="00CE4114">
            <w:pPr>
              <w:autoSpaceDE w:val="0"/>
              <w:autoSpaceDN w:val="0"/>
              <w:adjustRightInd w:val="0"/>
              <w:ind w:left="56" w:right="56"/>
              <w:jc w:val="center"/>
              <w:rPr>
                <w:sz w:val="20"/>
                <w:szCs w:val="20"/>
              </w:rPr>
            </w:pPr>
            <w:r w:rsidRPr="00D50E91">
              <w:rPr>
                <w:sz w:val="20"/>
                <w:szCs w:val="20"/>
              </w:rPr>
              <w:t xml:space="preserve"> 13</w:t>
            </w:r>
          </w:p>
        </w:tc>
        <w:tc>
          <w:tcPr>
            <w:tcW w:w="1632" w:type="dxa"/>
            <w:tcBorders>
              <w:top w:val="nil"/>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rPr>
                <w:sz w:val="20"/>
                <w:szCs w:val="20"/>
              </w:rPr>
            </w:pPr>
            <w:r w:rsidRPr="00D50E91">
              <w:rPr>
                <w:sz w:val="20"/>
                <w:szCs w:val="20"/>
              </w:rPr>
              <w:t xml:space="preserve"> </w:t>
            </w:r>
          </w:p>
        </w:tc>
        <w:tc>
          <w:tcPr>
            <w:tcW w:w="3264"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rPr>
                <w:sz w:val="20"/>
                <w:szCs w:val="20"/>
              </w:rPr>
            </w:pPr>
            <w:r w:rsidRPr="00D50E91">
              <w:rPr>
                <w:sz w:val="20"/>
                <w:szCs w:val="20"/>
              </w:rPr>
              <w:t xml:space="preserve"> Fekvőbeteg</w:t>
            </w:r>
            <w:r w:rsidR="003528A8">
              <w:rPr>
                <w:sz w:val="20"/>
                <w:szCs w:val="20"/>
              </w:rPr>
              <w:t>-</w:t>
            </w:r>
            <w:r w:rsidRPr="00D50E91">
              <w:rPr>
                <w:sz w:val="20"/>
                <w:szCs w:val="20"/>
              </w:rPr>
              <w:t>ellátás</w:t>
            </w:r>
          </w:p>
        </w:tc>
        <w:tc>
          <w:tcPr>
            <w:tcW w:w="1632"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z w:val="20"/>
                <w:szCs w:val="20"/>
              </w:rPr>
            </w:pPr>
            <w:r w:rsidRPr="00D50E91">
              <w:rPr>
                <w:sz w:val="20"/>
                <w:szCs w:val="20"/>
              </w:rPr>
              <w:t>750/1 500</w:t>
            </w:r>
          </w:p>
        </w:tc>
        <w:tc>
          <w:tcPr>
            <w:tcW w:w="1634"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z w:val="20"/>
                <w:szCs w:val="20"/>
              </w:rPr>
            </w:pPr>
            <w:r w:rsidRPr="00D50E91">
              <w:rPr>
                <w:sz w:val="20"/>
                <w:szCs w:val="20"/>
              </w:rPr>
              <w:t>2 000/4 000</w:t>
            </w:r>
          </w:p>
        </w:tc>
        <w:tc>
          <w:tcPr>
            <w:tcW w:w="1633"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z w:val="20"/>
                <w:szCs w:val="20"/>
              </w:rPr>
            </w:pPr>
            <w:r w:rsidRPr="00D50E91">
              <w:rPr>
                <w:sz w:val="20"/>
                <w:szCs w:val="20"/>
              </w:rPr>
              <w:t>1 500/3 000</w:t>
            </w:r>
          </w:p>
        </w:tc>
        <w:tc>
          <w:tcPr>
            <w:tcW w:w="1634"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z w:val="20"/>
                <w:szCs w:val="20"/>
              </w:rPr>
            </w:pPr>
            <w:r w:rsidRPr="00D50E91">
              <w:rPr>
                <w:sz w:val="20"/>
                <w:szCs w:val="20"/>
              </w:rPr>
              <w:t xml:space="preserve"> 1 000/1 500</w:t>
            </w:r>
          </w:p>
        </w:tc>
        <w:tc>
          <w:tcPr>
            <w:tcW w:w="1632"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z w:val="20"/>
                <w:szCs w:val="20"/>
              </w:rPr>
            </w:pPr>
            <w:r w:rsidRPr="00D50E91">
              <w:rPr>
                <w:sz w:val="20"/>
                <w:szCs w:val="20"/>
              </w:rPr>
              <w:t xml:space="preserve"> 500/750</w:t>
            </w:r>
          </w:p>
        </w:tc>
      </w:tr>
      <w:tr w:rsidR="00107BB1" w:rsidRPr="00D50E91" w:rsidTr="008C3E46">
        <w:tc>
          <w:tcPr>
            <w:tcW w:w="540" w:type="dxa"/>
            <w:tcBorders>
              <w:top w:val="single" w:sz="4" w:space="0" w:color="auto"/>
              <w:left w:val="single" w:sz="4" w:space="0" w:color="auto"/>
              <w:bottom w:val="single" w:sz="4" w:space="0" w:color="auto"/>
              <w:right w:val="single" w:sz="4" w:space="0" w:color="auto"/>
            </w:tcBorders>
          </w:tcPr>
          <w:p w:rsidR="00107BB1" w:rsidRPr="00D50E91" w:rsidRDefault="00107BB1" w:rsidP="00BA45D4">
            <w:pPr>
              <w:autoSpaceDE w:val="0"/>
              <w:autoSpaceDN w:val="0"/>
              <w:adjustRightInd w:val="0"/>
              <w:ind w:left="56" w:right="56"/>
              <w:jc w:val="center"/>
              <w:rPr>
                <w:sz w:val="20"/>
                <w:szCs w:val="20"/>
              </w:rPr>
            </w:pPr>
            <w:r w:rsidRPr="00D50E91">
              <w:rPr>
                <w:sz w:val="20"/>
                <w:szCs w:val="20"/>
              </w:rPr>
              <w:t xml:space="preserve"> 14</w:t>
            </w:r>
          </w:p>
        </w:tc>
        <w:tc>
          <w:tcPr>
            <w:tcW w:w="1632" w:type="dxa"/>
            <w:tcBorders>
              <w:top w:val="single" w:sz="4" w:space="0" w:color="auto"/>
              <w:left w:val="single" w:sz="4" w:space="0" w:color="auto"/>
              <w:right w:val="single" w:sz="4" w:space="0" w:color="auto"/>
            </w:tcBorders>
          </w:tcPr>
          <w:p w:rsidR="00107BB1" w:rsidRPr="00D50E91" w:rsidRDefault="00107BB1" w:rsidP="00BA45D4">
            <w:pPr>
              <w:autoSpaceDE w:val="0"/>
              <w:autoSpaceDN w:val="0"/>
              <w:adjustRightInd w:val="0"/>
              <w:rPr>
                <w:sz w:val="20"/>
                <w:szCs w:val="20"/>
              </w:rPr>
            </w:pPr>
            <w:r w:rsidRPr="00D50E91">
              <w:rPr>
                <w:sz w:val="20"/>
                <w:szCs w:val="20"/>
              </w:rPr>
              <w:t xml:space="preserve"> </w:t>
            </w:r>
          </w:p>
          <w:p w:rsidR="00107BB1" w:rsidRPr="00D50E91" w:rsidRDefault="00107BB1" w:rsidP="00BA45D4">
            <w:pPr>
              <w:autoSpaceDE w:val="0"/>
              <w:autoSpaceDN w:val="0"/>
              <w:adjustRightInd w:val="0"/>
              <w:ind w:left="56" w:right="56"/>
              <w:rPr>
                <w:sz w:val="20"/>
                <w:szCs w:val="20"/>
              </w:rPr>
            </w:pPr>
            <w:r w:rsidRPr="00D50E91">
              <w:rPr>
                <w:sz w:val="20"/>
                <w:szCs w:val="20"/>
              </w:rPr>
              <w:t xml:space="preserve"> Szociális</w:t>
            </w:r>
          </w:p>
          <w:p w:rsidR="00107BB1" w:rsidRPr="00D50E91" w:rsidRDefault="00107BB1" w:rsidP="00107BB1">
            <w:pPr>
              <w:autoSpaceDE w:val="0"/>
              <w:autoSpaceDN w:val="0"/>
              <w:adjustRightInd w:val="0"/>
              <w:ind w:right="56"/>
              <w:rPr>
                <w:sz w:val="20"/>
                <w:szCs w:val="20"/>
              </w:rPr>
            </w:pPr>
          </w:p>
        </w:tc>
        <w:tc>
          <w:tcPr>
            <w:tcW w:w="3264" w:type="dxa"/>
            <w:tcBorders>
              <w:top w:val="single" w:sz="4" w:space="0" w:color="auto"/>
              <w:left w:val="single" w:sz="4" w:space="0" w:color="auto"/>
              <w:right w:val="single" w:sz="4" w:space="0" w:color="auto"/>
            </w:tcBorders>
          </w:tcPr>
          <w:p w:rsidR="00107BB1" w:rsidRPr="00D50E91" w:rsidRDefault="00107BB1" w:rsidP="00BA45D4">
            <w:pPr>
              <w:autoSpaceDE w:val="0"/>
              <w:autoSpaceDN w:val="0"/>
              <w:adjustRightInd w:val="0"/>
              <w:ind w:left="56" w:right="56"/>
              <w:rPr>
                <w:sz w:val="20"/>
                <w:szCs w:val="20"/>
              </w:rPr>
            </w:pPr>
            <w:r w:rsidRPr="00D50E91">
              <w:rPr>
                <w:sz w:val="20"/>
                <w:szCs w:val="20"/>
              </w:rPr>
              <w:t xml:space="preserve"> Szociális nappali ellátás intézménye (pl. idősek klubja, menekülésben korlátozott személyek nappali ellátása, hasonló rendeltetések)</w:t>
            </w:r>
          </w:p>
          <w:p w:rsidR="00107BB1" w:rsidRPr="00D50E91" w:rsidRDefault="00107BB1" w:rsidP="00BA45D4">
            <w:pPr>
              <w:autoSpaceDE w:val="0"/>
              <w:autoSpaceDN w:val="0"/>
              <w:adjustRightInd w:val="0"/>
              <w:ind w:left="56" w:right="56"/>
              <w:rPr>
                <w:sz w:val="20"/>
                <w:szCs w:val="20"/>
              </w:rPr>
            </w:pPr>
          </w:p>
        </w:tc>
        <w:tc>
          <w:tcPr>
            <w:tcW w:w="1632" w:type="dxa"/>
            <w:tcBorders>
              <w:top w:val="single" w:sz="4" w:space="0" w:color="auto"/>
              <w:left w:val="single" w:sz="4" w:space="0" w:color="auto"/>
              <w:right w:val="single" w:sz="4" w:space="0" w:color="auto"/>
            </w:tcBorders>
          </w:tcPr>
          <w:p w:rsidR="00107BB1" w:rsidRPr="00D50E91" w:rsidRDefault="00107BB1" w:rsidP="00BA45D4">
            <w:pPr>
              <w:autoSpaceDE w:val="0"/>
              <w:autoSpaceDN w:val="0"/>
              <w:adjustRightInd w:val="0"/>
              <w:jc w:val="center"/>
              <w:rPr>
                <w:sz w:val="20"/>
                <w:szCs w:val="20"/>
              </w:rPr>
            </w:pPr>
            <w:r w:rsidRPr="00D50E91">
              <w:rPr>
                <w:sz w:val="20"/>
                <w:szCs w:val="20"/>
              </w:rPr>
              <w:t>750/1 500</w:t>
            </w:r>
          </w:p>
          <w:p w:rsidR="00107BB1" w:rsidRPr="00D50E91" w:rsidRDefault="00107BB1" w:rsidP="00BA45D4">
            <w:pPr>
              <w:autoSpaceDE w:val="0"/>
              <w:autoSpaceDN w:val="0"/>
              <w:adjustRightInd w:val="0"/>
              <w:ind w:left="56" w:right="56"/>
              <w:jc w:val="center"/>
              <w:rPr>
                <w:sz w:val="20"/>
                <w:szCs w:val="20"/>
              </w:rPr>
            </w:pPr>
          </w:p>
        </w:tc>
        <w:tc>
          <w:tcPr>
            <w:tcW w:w="1634" w:type="dxa"/>
            <w:tcBorders>
              <w:top w:val="single" w:sz="4" w:space="0" w:color="auto"/>
              <w:left w:val="single" w:sz="4" w:space="0" w:color="auto"/>
              <w:right w:val="single" w:sz="4" w:space="0" w:color="auto"/>
            </w:tcBorders>
          </w:tcPr>
          <w:p w:rsidR="00107BB1" w:rsidRPr="00D50E91" w:rsidRDefault="00107BB1" w:rsidP="00BA45D4">
            <w:pPr>
              <w:autoSpaceDE w:val="0"/>
              <w:autoSpaceDN w:val="0"/>
              <w:adjustRightInd w:val="0"/>
              <w:jc w:val="center"/>
              <w:rPr>
                <w:sz w:val="20"/>
                <w:szCs w:val="20"/>
              </w:rPr>
            </w:pPr>
            <w:r w:rsidRPr="00D50E91">
              <w:rPr>
                <w:sz w:val="20"/>
                <w:szCs w:val="20"/>
              </w:rPr>
              <w:t>2 000/4 000</w:t>
            </w:r>
          </w:p>
          <w:p w:rsidR="00107BB1" w:rsidRPr="00D50E91" w:rsidRDefault="00107BB1" w:rsidP="00BA45D4">
            <w:pPr>
              <w:autoSpaceDE w:val="0"/>
              <w:autoSpaceDN w:val="0"/>
              <w:adjustRightInd w:val="0"/>
              <w:ind w:left="56" w:right="56"/>
              <w:jc w:val="center"/>
              <w:rPr>
                <w:sz w:val="20"/>
                <w:szCs w:val="20"/>
              </w:rPr>
            </w:pPr>
          </w:p>
        </w:tc>
        <w:tc>
          <w:tcPr>
            <w:tcW w:w="1633" w:type="dxa"/>
            <w:tcBorders>
              <w:top w:val="single" w:sz="4" w:space="0" w:color="auto"/>
              <w:left w:val="single" w:sz="4" w:space="0" w:color="auto"/>
              <w:right w:val="single" w:sz="4" w:space="0" w:color="auto"/>
            </w:tcBorders>
          </w:tcPr>
          <w:p w:rsidR="00107BB1" w:rsidRPr="00D50E91" w:rsidRDefault="00107BB1" w:rsidP="00BA45D4">
            <w:pPr>
              <w:autoSpaceDE w:val="0"/>
              <w:autoSpaceDN w:val="0"/>
              <w:adjustRightInd w:val="0"/>
              <w:jc w:val="center"/>
              <w:rPr>
                <w:sz w:val="20"/>
                <w:szCs w:val="20"/>
              </w:rPr>
            </w:pPr>
            <w:r w:rsidRPr="00D50E91">
              <w:rPr>
                <w:sz w:val="20"/>
                <w:szCs w:val="20"/>
              </w:rPr>
              <w:t>1 500/3 000</w:t>
            </w:r>
          </w:p>
          <w:p w:rsidR="00107BB1" w:rsidRPr="00D50E91" w:rsidRDefault="00107BB1" w:rsidP="00BA45D4">
            <w:pPr>
              <w:autoSpaceDE w:val="0"/>
              <w:autoSpaceDN w:val="0"/>
              <w:adjustRightInd w:val="0"/>
              <w:ind w:left="56" w:right="56"/>
              <w:jc w:val="center"/>
              <w:rPr>
                <w:sz w:val="20"/>
                <w:szCs w:val="20"/>
              </w:rPr>
            </w:pPr>
          </w:p>
        </w:tc>
        <w:tc>
          <w:tcPr>
            <w:tcW w:w="1634" w:type="dxa"/>
            <w:tcBorders>
              <w:top w:val="single" w:sz="4" w:space="0" w:color="auto"/>
              <w:left w:val="single" w:sz="4" w:space="0" w:color="auto"/>
              <w:right w:val="single" w:sz="4" w:space="0" w:color="auto"/>
            </w:tcBorders>
          </w:tcPr>
          <w:p w:rsidR="00107BB1" w:rsidRPr="00D50E91" w:rsidRDefault="00107BB1" w:rsidP="00BA45D4">
            <w:pPr>
              <w:autoSpaceDE w:val="0"/>
              <w:autoSpaceDN w:val="0"/>
              <w:adjustRightInd w:val="0"/>
              <w:ind w:left="56" w:right="56"/>
              <w:jc w:val="center"/>
              <w:rPr>
                <w:sz w:val="20"/>
                <w:szCs w:val="20"/>
              </w:rPr>
            </w:pPr>
            <w:r w:rsidRPr="00D50E91">
              <w:rPr>
                <w:sz w:val="20"/>
                <w:szCs w:val="20"/>
              </w:rPr>
              <w:t xml:space="preserve"> 1 000/1 500</w:t>
            </w:r>
          </w:p>
          <w:p w:rsidR="00107BB1" w:rsidRPr="00D50E91" w:rsidRDefault="00107BB1" w:rsidP="00BA45D4">
            <w:pPr>
              <w:autoSpaceDE w:val="0"/>
              <w:autoSpaceDN w:val="0"/>
              <w:adjustRightInd w:val="0"/>
              <w:ind w:left="56" w:right="56"/>
              <w:jc w:val="center"/>
              <w:rPr>
                <w:sz w:val="20"/>
                <w:szCs w:val="20"/>
              </w:rPr>
            </w:pPr>
          </w:p>
        </w:tc>
        <w:tc>
          <w:tcPr>
            <w:tcW w:w="1632" w:type="dxa"/>
            <w:tcBorders>
              <w:top w:val="single" w:sz="4" w:space="0" w:color="auto"/>
              <w:left w:val="single" w:sz="4" w:space="0" w:color="auto"/>
              <w:right w:val="single" w:sz="4" w:space="0" w:color="auto"/>
            </w:tcBorders>
          </w:tcPr>
          <w:p w:rsidR="00107BB1" w:rsidRPr="00D50E91" w:rsidRDefault="00107BB1" w:rsidP="00BA45D4">
            <w:pPr>
              <w:autoSpaceDE w:val="0"/>
              <w:autoSpaceDN w:val="0"/>
              <w:adjustRightInd w:val="0"/>
              <w:ind w:left="56" w:right="56"/>
              <w:jc w:val="center"/>
              <w:rPr>
                <w:sz w:val="20"/>
                <w:szCs w:val="20"/>
              </w:rPr>
            </w:pPr>
            <w:r w:rsidRPr="00D50E91">
              <w:rPr>
                <w:sz w:val="20"/>
                <w:szCs w:val="20"/>
              </w:rPr>
              <w:t xml:space="preserve"> 500/750</w:t>
            </w:r>
          </w:p>
          <w:p w:rsidR="00107BB1" w:rsidRPr="00D50E91" w:rsidRDefault="00107BB1" w:rsidP="00BA45D4">
            <w:pPr>
              <w:autoSpaceDE w:val="0"/>
              <w:autoSpaceDN w:val="0"/>
              <w:adjustRightInd w:val="0"/>
              <w:ind w:left="56" w:right="56"/>
              <w:jc w:val="center"/>
              <w:rPr>
                <w:sz w:val="20"/>
                <w:szCs w:val="20"/>
              </w:rPr>
            </w:pPr>
          </w:p>
        </w:tc>
      </w:tr>
      <w:tr w:rsidR="00CE4114" w:rsidRPr="00D50E91" w:rsidTr="00BA45D4">
        <w:tc>
          <w:tcPr>
            <w:tcW w:w="540" w:type="dxa"/>
            <w:tcBorders>
              <w:top w:val="single" w:sz="4" w:space="0" w:color="auto"/>
              <w:left w:val="single" w:sz="4" w:space="0" w:color="auto"/>
              <w:bottom w:val="single" w:sz="4" w:space="0" w:color="auto"/>
              <w:right w:val="single" w:sz="4" w:space="0" w:color="auto"/>
            </w:tcBorders>
          </w:tcPr>
          <w:p w:rsidR="00CE4114" w:rsidRPr="00D50E91" w:rsidRDefault="00CE4114" w:rsidP="00107BB1">
            <w:pPr>
              <w:autoSpaceDE w:val="0"/>
              <w:autoSpaceDN w:val="0"/>
              <w:adjustRightInd w:val="0"/>
              <w:ind w:left="56" w:right="56"/>
              <w:jc w:val="center"/>
              <w:rPr>
                <w:sz w:val="20"/>
                <w:szCs w:val="20"/>
              </w:rPr>
            </w:pPr>
            <w:r w:rsidRPr="00D50E91">
              <w:rPr>
                <w:sz w:val="20"/>
                <w:szCs w:val="20"/>
              </w:rPr>
              <w:t xml:space="preserve"> 1</w:t>
            </w:r>
            <w:r w:rsidR="00107BB1" w:rsidRPr="00D50E91">
              <w:rPr>
                <w:sz w:val="20"/>
                <w:szCs w:val="20"/>
              </w:rPr>
              <w:t>5</w:t>
            </w:r>
          </w:p>
        </w:tc>
        <w:tc>
          <w:tcPr>
            <w:tcW w:w="1632" w:type="dxa"/>
            <w:tcBorders>
              <w:top w:val="single" w:sz="4" w:space="0" w:color="auto"/>
              <w:left w:val="single" w:sz="4" w:space="0" w:color="auto"/>
              <w:bottom w:val="nil"/>
              <w:right w:val="single" w:sz="4" w:space="0" w:color="auto"/>
            </w:tcBorders>
          </w:tcPr>
          <w:p w:rsidR="00CE4114" w:rsidRPr="00D50E91" w:rsidRDefault="00CE4114" w:rsidP="00BA45D4">
            <w:pPr>
              <w:autoSpaceDE w:val="0"/>
              <w:autoSpaceDN w:val="0"/>
              <w:adjustRightInd w:val="0"/>
              <w:ind w:left="56" w:right="56"/>
              <w:rPr>
                <w:sz w:val="20"/>
                <w:szCs w:val="20"/>
              </w:rPr>
            </w:pPr>
            <w:r w:rsidRPr="00D50E91">
              <w:rPr>
                <w:sz w:val="20"/>
                <w:szCs w:val="20"/>
              </w:rPr>
              <w:t xml:space="preserve">Közösségi </w:t>
            </w:r>
          </w:p>
        </w:tc>
        <w:tc>
          <w:tcPr>
            <w:tcW w:w="3264"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rPr>
                <w:strike/>
                <w:sz w:val="20"/>
                <w:szCs w:val="20"/>
              </w:rPr>
            </w:pPr>
            <w:r w:rsidRPr="00D50E91">
              <w:rPr>
                <w:sz w:val="20"/>
                <w:szCs w:val="20"/>
              </w:rPr>
              <w:t xml:space="preserve"> Diszkó, zenés</w:t>
            </w:r>
            <w:r w:rsidR="003528A8">
              <w:rPr>
                <w:sz w:val="20"/>
                <w:szCs w:val="20"/>
              </w:rPr>
              <w:t>-</w:t>
            </w:r>
            <w:r w:rsidRPr="00D50E91">
              <w:rPr>
                <w:sz w:val="20"/>
                <w:szCs w:val="20"/>
              </w:rPr>
              <w:t>táncos szórakozóhely</w:t>
            </w:r>
          </w:p>
        </w:tc>
        <w:tc>
          <w:tcPr>
            <w:tcW w:w="1632"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trike/>
                <w:sz w:val="20"/>
                <w:szCs w:val="20"/>
              </w:rPr>
            </w:pPr>
            <w:r w:rsidRPr="00D50E91">
              <w:rPr>
                <w:sz w:val="20"/>
                <w:szCs w:val="20"/>
              </w:rPr>
              <w:t xml:space="preserve"> 500/1 000</w:t>
            </w:r>
          </w:p>
        </w:tc>
        <w:tc>
          <w:tcPr>
            <w:tcW w:w="1634"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trike/>
                <w:sz w:val="20"/>
                <w:szCs w:val="20"/>
              </w:rPr>
            </w:pPr>
            <w:r w:rsidRPr="00D50E91">
              <w:rPr>
                <w:sz w:val="20"/>
                <w:szCs w:val="20"/>
              </w:rPr>
              <w:t xml:space="preserve"> 750/1 500</w:t>
            </w:r>
          </w:p>
        </w:tc>
        <w:tc>
          <w:tcPr>
            <w:tcW w:w="3267" w:type="dxa"/>
            <w:gridSpan w:val="2"/>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trike/>
                <w:sz w:val="20"/>
                <w:szCs w:val="20"/>
              </w:rPr>
            </w:pPr>
            <w:r w:rsidRPr="00D50E91">
              <w:rPr>
                <w:sz w:val="20"/>
                <w:szCs w:val="20"/>
              </w:rPr>
              <w:t xml:space="preserve"> 2 000/4 000</w:t>
            </w:r>
          </w:p>
        </w:tc>
        <w:tc>
          <w:tcPr>
            <w:tcW w:w="1632"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trike/>
                <w:sz w:val="20"/>
                <w:szCs w:val="20"/>
              </w:rPr>
            </w:pPr>
            <w:r w:rsidRPr="00D50E91">
              <w:rPr>
                <w:sz w:val="20"/>
                <w:szCs w:val="20"/>
              </w:rPr>
              <w:t>500/750</w:t>
            </w:r>
          </w:p>
        </w:tc>
      </w:tr>
      <w:tr w:rsidR="00CE4114" w:rsidRPr="00D50E91" w:rsidTr="00BA45D4">
        <w:tc>
          <w:tcPr>
            <w:tcW w:w="540" w:type="dxa"/>
            <w:tcBorders>
              <w:top w:val="single" w:sz="4" w:space="0" w:color="auto"/>
              <w:left w:val="single" w:sz="4" w:space="0" w:color="auto"/>
              <w:bottom w:val="single" w:sz="4" w:space="0" w:color="auto"/>
              <w:right w:val="single" w:sz="4" w:space="0" w:color="auto"/>
            </w:tcBorders>
          </w:tcPr>
          <w:p w:rsidR="00CE4114" w:rsidRPr="00D50E91" w:rsidRDefault="00CE4114" w:rsidP="00107BB1">
            <w:pPr>
              <w:autoSpaceDE w:val="0"/>
              <w:autoSpaceDN w:val="0"/>
              <w:adjustRightInd w:val="0"/>
              <w:ind w:left="56" w:right="56"/>
              <w:jc w:val="center"/>
              <w:rPr>
                <w:sz w:val="20"/>
                <w:szCs w:val="20"/>
              </w:rPr>
            </w:pPr>
            <w:r w:rsidRPr="00D50E91">
              <w:rPr>
                <w:sz w:val="20"/>
                <w:szCs w:val="20"/>
              </w:rPr>
              <w:t xml:space="preserve"> 1</w:t>
            </w:r>
            <w:r w:rsidR="00107BB1" w:rsidRPr="00D50E91">
              <w:rPr>
                <w:sz w:val="20"/>
                <w:szCs w:val="20"/>
              </w:rPr>
              <w:t>6</w:t>
            </w:r>
          </w:p>
        </w:tc>
        <w:tc>
          <w:tcPr>
            <w:tcW w:w="1632" w:type="dxa"/>
            <w:tcBorders>
              <w:top w:val="nil"/>
              <w:left w:val="single" w:sz="4" w:space="0" w:color="auto"/>
              <w:bottom w:val="nil"/>
              <w:right w:val="single" w:sz="4" w:space="0" w:color="auto"/>
            </w:tcBorders>
          </w:tcPr>
          <w:p w:rsidR="00CE4114" w:rsidRPr="00D50E91" w:rsidRDefault="00CE4114" w:rsidP="00BA45D4">
            <w:pPr>
              <w:autoSpaceDE w:val="0"/>
              <w:autoSpaceDN w:val="0"/>
              <w:adjustRightInd w:val="0"/>
              <w:ind w:left="56" w:right="56"/>
              <w:rPr>
                <w:sz w:val="20"/>
                <w:szCs w:val="20"/>
              </w:rPr>
            </w:pPr>
            <w:r w:rsidRPr="00D50E91">
              <w:rPr>
                <w:sz w:val="20"/>
                <w:szCs w:val="20"/>
              </w:rPr>
              <w:t>szórakoztató, kulturális, hitéleti, továbbá nézőtérrel vagy anélkül kialakított rendezvénytereket befogadó rendeltetések</w:t>
            </w:r>
          </w:p>
        </w:tc>
        <w:tc>
          <w:tcPr>
            <w:tcW w:w="3264"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rPr>
                <w:sz w:val="20"/>
                <w:szCs w:val="20"/>
              </w:rPr>
            </w:pPr>
            <w:r w:rsidRPr="00D50E91">
              <w:rPr>
                <w:sz w:val="20"/>
                <w:szCs w:val="20"/>
              </w:rPr>
              <w:t>Egyéb</w:t>
            </w:r>
          </w:p>
          <w:p w:rsidR="00CE4114" w:rsidRPr="00D50E91" w:rsidRDefault="00CE4114" w:rsidP="00BA45D4">
            <w:pPr>
              <w:autoSpaceDE w:val="0"/>
              <w:autoSpaceDN w:val="0"/>
              <w:adjustRightInd w:val="0"/>
              <w:ind w:left="56" w:right="56"/>
              <w:rPr>
                <w:sz w:val="20"/>
                <w:szCs w:val="20"/>
              </w:rPr>
            </w:pPr>
          </w:p>
          <w:p w:rsidR="00CE4114" w:rsidRPr="00D50E91" w:rsidRDefault="00CE4114" w:rsidP="00BA45D4">
            <w:pPr>
              <w:autoSpaceDE w:val="0"/>
              <w:autoSpaceDN w:val="0"/>
              <w:adjustRightInd w:val="0"/>
              <w:ind w:left="56" w:right="56"/>
              <w:jc w:val="both"/>
              <w:rPr>
                <w:sz w:val="20"/>
                <w:szCs w:val="20"/>
              </w:rPr>
            </w:pPr>
            <w:r w:rsidRPr="00D50E91">
              <w:rPr>
                <w:sz w:val="20"/>
                <w:szCs w:val="20"/>
              </w:rPr>
              <w:t>Megjegyzés: a rendezvénytér helyisége – önálló tűzszakaszként való kialakítás esetén – 50 %</w:t>
            </w:r>
            <w:r w:rsidR="003528A8">
              <w:rPr>
                <w:sz w:val="20"/>
                <w:szCs w:val="20"/>
              </w:rPr>
              <w:t>-</w:t>
            </w:r>
            <w:r w:rsidRPr="00D50E91">
              <w:rPr>
                <w:sz w:val="20"/>
                <w:szCs w:val="20"/>
              </w:rPr>
              <w:t>kal meghaladhatja a táblázatban megadott értéket</w:t>
            </w:r>
          </w:p>
          <w:p w:rsidR="00CE4114" w:rsidRPr="00D50E91" w:rsidRDefault="00CE4114" w:rsidP="00BA45D4">
            <w:pPr>
              <w:autoSpaceDE w:val="0"/>
              <w:autoSpaceDN w:val="0"/>
              <w:adjustRightInd w:val="0"/>
              <w:ind w:left="56" w:right="56"/>
              <w:rPr>
                <w:sz w:val="20"/>
                <w:szCs w:val="20"/>
              </w:rPr>
            </w:pPr>
          </w:p>
        </w:tc>
        <w:tc>
          <w:tcPr>
            <w:tcW w:w="1632"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trike/>
                <w:sz w:val="20"/>
                <w:szCs w:val="20"/>
              </w:rPr>
            </w:pPr>
            <w:r w:rsidRPr="00D50E91">
              <w:rPr>
                <w:sz w:val="20"/>
                <w:szCs w:val="20"/>
              </w:rPr>
              <w:t xml:space="preserve"> 1 500/3 000</w:t>
            </w:r>
          </w:p>
        </w:tc>
        <w:tc>
          <w:tcPr>
            <w:tcW w:w="1634"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trike/>
                <w:sz w:val="20"/>
                <w:szCs w:val="20"/>
              </w:rPr>
            </w:pPr>
            <w:r w:rsidRPr="00D50E91">
              <w:rPr>
                <w:sz w:val="20"/>
                <w:szCs w:val="20"/>
              </w:rPr>
              <w:t xml:space="preserve"> 4 000/8 000</w:t>
            </w:r>
          </w:p>
        </w:tc>
        <w:tc>
          <w:tcPr>
            <w:tcW w:w="1633"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trike/>
                <w:sz w:val="20"/>
                <w:szCs w:val="20"/>
              </w:rPr>
            </w:pPr>
            <w:r w:rsidRPr="00D50E91">
              <w:rPr>
                <w:sz w:val="20"/>
                <w:szCs w:val="20"/>
              </w:rPr>
              <w:t xml:space="preserve"> 5 000/10 000</w:t>
            </w:r>
          </w:p>
        </w:tc>
        <w:tc>
          <w:tcPr>
            <w:tcW w:w="1634"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trike/>
                <w:sz w:val="20"/>
                <w:szCs w:val="20"/>
              </w:rPr>
            </w:pPr>
            <w:r w:rsidRPr="00D50E91">
              <w:rPr>
                <w:sz w:val="20"/>
                <w:szCs w:val="20"/>
              </w:rPr>
              <w:t xml:space="preserve"> 4 000/6 000</w:t>
            </w:r>
          </w:p>
        </w:tc>
        <w:tc>
          <w:tcPr>
            <w:tcW w:w="1632"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trike/>
                <w:sz w:val="20"/>
                <w:szCs w:val="20"/>
              </w:rPr>
            </w:pPr>
            <w:r w:rsidRPr="00D50E91">
              <w:rPr>
                <w:sz w:val="20"/>
                <w:szCs w:val="20"/>
              </w:rPr>
              <w:t xml:space="preserve"> 2 000/3 000</w:t>
            </w:r>
          </w:p>
        </w:tc>
      </w:tr>
      <w:tr w:rsidR="00CE4114" w:rsidRPr="00D50E91" w:rsidTr="00BA45D4">
        <w:tc>
          <w:tcPr>
            <w:tcW w:w="540" w:type="dxa"/>
            <w:tcBorders>
              <w:top w:val="single" w:sz="4" w:space="0" w:color="auto"/>
              <w:left w:val="single" w:sz="4" w:space="0" w:color="auto"/>
              <w:bottom w:val="single" w:sz="4" w:space="0" w:color="auto"/>
              <w:right w:val="single" w:sz="4" w:space="0" w:color="auto"/>
            </w:tcBorders>
          </w:tcPr>
          <w:p w:rsidR="00CE4114" w:rsidRPr="00D50E91" w:rsidRDefault="00CE4114" w:rsidP="00107BB1">
            <w:pPr>
              <w:autoSpaceDE w:val="0"/>
              <w:autoSpaceDN w:val="0"/>
              <w:adjustRightInd w:val="0"/>
              <w:ind w:left="56" w:right="56"/>
              <w:jc w:val="center"/>
              <w:rPr>
                <w:sz w:val="20"/>
                <w:szCs w:val="20"/>
              </w:rPr>
            </w:pPr>
            <w:r w:rsidRPr="00D50E91">
              <w:rPr>
                <w:sz w:val="20"/>
                <w:szCs w:val="20"/>
              </w:rPr>
              <w:t xml:space="preserve"> 1</w:t>
            </w:r>
            <w:r w:rsidR="00107BB1" w:rsidRPr="00D50E91">
              <w:rPr>
                <w:sz w:val="20"/>
                <w:szCs w:val="20"/>
              </w:rPr>
              <w:t>7</w:t>
            </w:r>
          </w:p>
        </w:tc>
        <w:tc>
          <w:tcPr>
            <w:tcW w:w="1632" w:type="dxa"/>
            <w:tcBorders>
              <w:top w:val="single" w:sz="4" w:space="0" w:color="auto"/>
              <w:left w:val="single" w:sz="4" w:space="0" w:color="auto"/>
              <w:bottom w:val="nil"/>
              <w:right w:val="single" w:sz="4" w:space="0" w:color="auto"/>
            </w:tcBorders>
          </w:tcPr>
          <w:p w:rsidR="00CE4114" w:rsidRPr="00D50E91" w:rsidRDefault="00CE4114" w:rsidP="00BA45D4">
            <w:pPr>
              <w:autoSpaceDE w:val="0"/>
              <w:autoSpaceDN w:val="0"/>
              <w:adjustRightInd w:val="0"/>
              <w:ind w:left="56" w:right="56"/>
              <w:rPr>
                <w:sz w:val="20"/>
                <w:szCs w:val="20"/>
              </w:rPr>
            </w:pPr>
            <w:r w:rsidRPr="00D50E91">
              <w:rPr>
                <w:sz w:val="20"/>
                <w:szCs w:val="20"/>
              </w:rPr>
              <w:t xml:space="preserve"> Kereskedelmi, </w:t>
            </w:r>
          </w:p>
        </w:tc>
        <w:tc>
          <w:tcPr>
            <w:tcW w:w="3264"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rPr>
                <w:sz w:val="20"/>
                <w:szCs w:val="20"/>
              </w:rPr>
            </w:pPr>
            <w:r w:rsidRPr="00D50E91">
              <w:rPr>
                <w:sz w:val="20"/>
                <w:szCs w:val="20"/>
              </w:rPr>
              <w:t xml:space="preserve"> Üzlet, szolgáltatóegység</w:t>
            </w:r>
          </w:p>
        </w:tc>
        <w:tc>
          <w:tcPr>
            <w:tcW w:w="1632"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z w:val="20"/>
                <w:szCs w:val="20"/>
              </w:rPr>
            </w:pPr>
            <w:r w:rsidRPr="00D50E91">
              <w:rPr>
                <w:sz w:val="20"/>
                <w:szCs w:val="20"/>
              </w:rPr>
              <w:t xml:space="preserve"> 1 000/2 000</w:t>
            </w:r>
          </w:p>
        </w:tc>
        <w:tc>
          <w:tcPr>
            <w:tcW w:w="1634"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z w:val="20"/>
                <w:szCs w:val="20"/>
              </w:rPr>
            </w:pPr>
            <w:r w:rsidRPr="00D50E91">
              <w:rPr>
                <w:sz w:val="20"/>
                <w:szCs w:val="20"/>
              </w:rPr>
              <w:t xml:space="preserve"> 4 000/8 000</w:t>
            </w:r>
          </w:p>
        </w:tc>
        <w:tc>
          <w:tcPr>
            <w:tcW w:w="1633"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z w:val="20"/>
                <w:szCs w:val="20"/>
              </w:rPr>
            </w:pPr>
            <w:r w:rsidRPr="00D50E91">
              <w:rPr>
                <w:sz w:val="20"/>
                <w:szCs w:val="20"/>
              </w:rPr>
              <w:t xml:space="preserve"> 4 000/8 000</w:t>
            </w:r>
          </w:p>
        </w:tc>
        <w:tc>
          <w:tcPr>
            <w:tcW w:w="1634"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z w:val="20"/>
                <w:szCs w:val="20"/>
              </w:rPr>
            </w:pPr>
            <w:r w:rsidRPr="00D50E91">
              <w:rPr>
                <w:sz w:val="20"/>
                <w:szCs w:val="20"/>
              </w:rPr>
              <w:t xml:space="preserve"> 3 000/4 500</w:t>
            </w:r>
          </w:p>
        </w:tc>
        <w:tc>
          <w:tcPr>
            <w:tcW w:w="1632"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z w:val="20"/>
                <w:szCs w:val="20"/>
              </w:rPr>
            </w:pPr>
            <w:r w:rsidRPr="00D50E91">
              <w:rPr>
                <w:sz w:val="20"/>
                <w:szCs w:val="20"/>
              </w:rPr>
              <w:t xml:space="preserve"> 1 000/1 500</w:t>
            </w:r>
          </w:p>
        </w:tc>
      </w:tr>
      <w:tr w:rsidR="00CE4114" w:rsidRPr="00D50E91" w:rsidTr="00BA45D4">
        <w:tc>
          <w:tcPr>
            <w:tcW w:w="540" w:type="dxa"/>
            <w:tcBorders>
              <w:top w:val="single" w:sz="4" w:space="0" w:color="auto"/>
              <w:left w:val="single" w:sz="4" w:space="0" w:color="auto"/>
              <w:bottom w:val="single" w:sz="4" w:space="0" w:color="auto"/>
              <w:right w:val="single" w:sz="4" w:space="0" w:color="auto"/>
            </w:tcBorders>
          </w:tcPr>
          <w:p w:rsidR="00CE4114" w:rsidRPr="00D50E91" w:rsidRDefault="00CE4114" w:rsidP="00107BB1">
            <w:pPr>
              <w:autoSpaceDE w:val="0"/>
              <w:autoSpaceDN w:val="0"/>
              <w:adjustRightInd w:val="0"/>
              <w:ind w:left="56" w:right="56"/>
              <w:jc w:val="center"/>
              <w:rPr>
                <w:sz w:val="20"/>
                <w:szCs w:val="20"/>
              </w:rPr>
            </w:pPr>
            <w:r w:rsidRPr="00D50E91">
              <w:rPr>
                <w:sz w:val="20"/>
                <w:szCs w:val="20"/>
              </w:rPr>
              <w:t xml:space="preserve"> 1</w:t>
            </w:r>
            <w:r w:rsidR="00107BB1" w:rsidRPr="00D50E91">
              <w:rPr>
                <w:sz w:val="20"/>
                <w:szCs w:val="20"/>
              </w:rPr>
              <w:t>8</w:t>
            </w:r>
          </w:p>
        </w:tc>
        <w:tc>
          <w:tcPr>
            <w:tcW w:w="1632" w:type="dxa"/>
            <w:tcBorders>
              <w:top w:val="nil"/>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rPr>
                <w:sz w:val="20"/>
                <w:szCs w:val="20"/>
              </w:rPr>
            </w:pPr>
            <w:r w:rsidRPr="00D50E91">
              <w:rPr>
                <w:sz w:val="20"/>
                <w:szCs w:val="20"/>
              </w:rPr>
              <w:t xml:space="preserve"> szolgáltató</w:t>
            </w:r>
          </w:p>
        </w:tc>
        <w:tc>
          <w:tcPr>
            <w:tcW w:w="3264"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rPr>
                <w:sz w:val="20"/>
                <w:szCs w:val="20"/>
              </w:rPr>
            </w:pPr>
            <w:r w:rsidRPr="00D50E91">
              <w:rPr>
                <w:sz w:val="20"/>
                <w:szCs w:val="20"/>
              </w:rPr>
              <w:t xml:space="preserve"> Áruház, raktáráruház, bevásárlóközpont</w:t>
            </w:r>
          </w:p>
        </w:tc>
        <w:tc>
          <w:tcPr>
            <w:tcW w:w="1632"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z w:val="20"/>
                <w:szCs w:val="20"/>
              </w:rPr>
            </w:pPr>
            <w:r w:rsidRPr="00D50E91">
              <w:rPr>
                <w:sz w:val="20"/>
                <w:szCs w:val="20"/>
              </w:rPr>
              <w:t xml:space="preserve"> 1 000/2 000</w:t>
            </w:r>
          </w:p>
        </w:tc>
        <w:tc>
          <w:tcPr>
            <w:tcW w:w="1634"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z w:val="20"/>
                <w:szCs w:val="20"/>
              </w:rPr>
            </w:pPr>
            <w:r w:rsidRPr="00D50E91">
              <w:rPr>
                <w:sz w:val="20"/>
                <w:szCs w:val="20"/>
              </w:rPr>
              <w:t xml:space="preserve"> 4 000/8 000</w:t>
            </w:r>
          </w:p>
        </w:tc>
        <w:tc>
          <w:tcPr>
            <w:tcW w:w="1633"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z w:val="20"/>
                <w:szCs w:val="20"/>
              </w:rPr>
            </w:pPr>
            <w:r w:rsidRPr="00D50E91">
              <w:rPr>
                <w:sz w:val="20"/>
                <w:szCs w:val="20"/>
              </w:rPr>
              <w:t xml:space="preserve"> 8 000/16 000</w:t>
            </w:r>
          </w:p>
        </w:tc>
        <w:tc>
          <w:tcPr>
            <w:tcW w:w="1634"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z w:val="20"/>
                <w:szCs w:val="20"/>
              </w:rPr>
            </w:pPr>
            <w:r w:rsidRPr="00D50E91">
              <w:rPr>
                <w:sz w:val="20"/>
                <w:szCs w:val="20"/>
              </w:rPr>
              <w:t xml:space="preserve"> 7 000/14 000</w:t>
            </w:r>
          </w:p>
        </w:tc>
        <w:tc>
          <w:tcPr>
            <w:tcW w:w="1632"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z w:val="20"/>
                <w:szCs w:val="20"/>
              </w:rPr>
            </w:pPr>
            <w:r w:rsidRPr="00D50E91">
              <w:rPr>
                <w:sz w:val="20"/>
                <w:szCs w:val="20"/>
              </w:rPr>
              <w:t xml:space="preserve"> 3 000/6 000</w:t>
            </w:r>
          </w:p>
        </w:tc>
      </w:tr>
      <w:tr w:rsidR="00CE4114" w:rsidRPr="00D50E91" w:rsidTr="00BA45D4">
        <w:tc>
          <w:tcPr>
            <w:tcW w:w="540" w:type="dxa"/>
            <w:tcBorders>
              <w:top w:val="single" w:sz="4" w:space="0" w:color="auto"/>
              <w:left w:val="single" w:sz="4" w:space="0" w:color="auto"/>
              <w:bottom w:val="single" w:sz="4" w:space="0" w:color="auto"/>
              <w:right w:val="single" w:sz="4" w:space="0" w:color="auto"/>
            </w:tcBorders>
          </w:tcPr>
          <w:p w:rsidR="00CE4114" w:rsidRPr="00D50E91" w:rsidRDefault="00CE4114" w:rsidP="00107BB1">
            <w:pPr>
              <w:autoSpaceDE w:val="0"/>
              <w:autoSpaceDN w:val="0"/>
              <w:adjustRightInd w:val="0"/>
              <w:ind w:left="56" w:right="56"/>
              <w:jc w:val="center"/>
              <w:rPr>
                <w:sz w:val="20"/>
                <w:szCs w:val="20"/>
              </w:rPr>
            </w:pPr>
            <w:r w:rsidRPr="00D50E91">
              <w:rPr>
                <w:sz w:val="20"/>
                <w:szCs w:val="20"/>
              </w:rPr>
              <w:t xml:space="preserve"> </w:t>
            </w:r>
            <w:r w:rsidR="00107BB1" w:rsidRPr="00D50E91">
              <w:rPr>
                <w:sz w:val="20"/>
                <w:szCs w:val="20"/>
              </w:rPr>
              <w:t>19</w:t>
            </w:r>
          </w:p>
        </w:tc>
        <w:tc>
          <w:tcPr>
            <w:tcW w:w="1632" w:type="dxa"/>
            <w:tcBorders>
              <w:top w:val="single" w:sz="4" w:space="0" w:color="auto"/>
              <w:left w:val="single" w:sz="4" w:space="0" w:color="auto"/>
              <w:bottom w:val="nil"/>
              <w:right w:val="single" w:sz="4" w:space="0" w:color="auto"/>
            </w:tcBorders>
          </w:tcPr>
          <w:p w:rsidR="00CE4114" w:rsidRPr="00D50E91" w:rsidRDefault="00CE4114" w:rsidP="00BA45D4">
            <w:pPr>
              <w:autoSpaceDE w:val="0"/>
              <w:autoSpaceDN w:val="0"/>
              <w:adjustRightInd w:val="0"/>
              <w:rPr>
                <w:sz w:val="20"/>
                <w:szCs w:val="20"/>
              </w:rPr>
            </w:pPr>
            <w:r w:rsidRPr="00D50E91">
              <w:rPr>
                <w:sz w:val="20"/>
                <w:szCs w:val="20"/>
              </w:rPr>
              <w:t xml:space="preserve"> </w:t>
            </w:r>
          </w:p>
        </w:tc>
        <w:tc>
          <w:tcPr>
            <w:tcW w:w="3264" w:type="dxa"/>
            <w:tcBorders>
              <w:top w:val="single" w:sz="4" w:space="0" w:color="auto"/>
              <w:left w:val="single" w:sz="4" w:space="0" w:color="auto"/>
              <w:bottom w:val="single" w:sz="4" w:space="0" w:color="auto"/>
              <w:right w:val="single" w:sz="4" w:space="0" w:color="auto"/>
            </w:tcBorders>
          </w:tcPr>
          <w:p w:rsidR="00CE4114" w:rsidRPr="00D50E91" w:rsidRDefault="00CE4114" w:rsidP="00107BB1">
            <w:pPr>
              <w:autoSpaceDE w:val="0"/>
              <w:autoSpaceDN w:val="0"/>
              <w:adjustRightInd w:val="0"/>
              <w:ind w:left="56" w:right="56"/>
              <w:rPr>
                <w:sz w:val="20"/>
                <w:szCs w:val="20"/>
              </w:rPr>
            </w:pPr>
            <w:r w:rsidRPr="00D50E91">
              <w:rPr>
                <w:sz w:val="20"/>
                <w:szCs w:val="20"/>
              </w:rPr>
              <w:t xml:space="preserve"> sportlétesítmény</w:t>
            </w:r>
          </w:p>
        </w:tc>
        <w:tc>
          <w:tcPr>
            <w:tcW w:w="1632"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z w:val="20"/>
                <w:szCs w:val="20"/>
              </w:rPr>
            </w:pPr>
            <w:r w:rsidRPr="00D50E91">
              <w:rPr>
                <w:sz w:val="20"/>
                <w:szCs w:val="20"/>
              </w:rPr>
              <w:t xml:space="preserve"> 1 000/2 000</w:t>
            </w:r>
          </w:p>
        </w:tc>
        <w:tc>
          <w:tcPr>
            <w:tcW w:w="1634"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z w:val="20"/>
                <w:szCs w:val="20"/>
              </w:rPr>
            </w:pPr>
            <w:r w:rsidRPr="00D50E91">
              <w:rPr>
                <w:sz w:val="20"/>
                <w:szCs w:val="20"/>
              </w:rPr>
              <w:t xml:space="preserve"> 5 000/10 000</w:t>
            </w:r>
          </w:p>
        </w:tc>
        <w:tc>
          <w:tcPr>
            <w:tcW w:w="1633"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z w:val="20"/>
                <w:szCs w:val="20"/>
              </w:rPr>
            </w:pPr>
            <w:r w:rsidRPr="00D50E91">
              <w:rPr>
                <w:sz w:val="20"/>
                <w:szCs w:val="20"/>
              </w:rPr>
              <w:t xml:space="preserve"> 15 000/30 000</w:t>
            </w:r>
          </w:p>
        </w:tc>
        <w:tc>
          <w:tcPr>
            <w:tcW w:w="1634"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z w:val="20"/>
                <w:szCs w:val="20"/>
              </w:rPr>
            </w:pPr>
            <w:r w:rsidRPr="00D50E91">
              <w:rPr>
                <w:sz w:val="20"/>
                <w:szCs w:val="20"/>
              </w:rPr>
              <w:t xml:space="preserve"> 12 000/18 000</w:t>
            </w:r>
          </w:p>
        </w:tc>
        <w:tc>
          <w:tcPr>
            <w:tcW w:w="1632"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z w:val="20"/>
                <w:szCs w:val="20"/>
              </w:rPr>
            </w:pPr>
            <w:r w:rsidRPr="00D50E91">
              <w:rPr>
                <w:sz w:val="20"/>
                <w:szCs w:val="20"/>
              </w:rPr>
              <w:t xml:space="preserve"> </w:t>
            </w:r>
            <w:r w:rsidR="003528A8">
              <w:rPr>
                <w:sz w:val="20"/>
                <w:szCs w:val="20"/>
              </w:rPr>
              <w:t>-</w:t>
            </w:r>
          </w:p>
        </w:tc>
      </w:tr>
      <w:tr w:rsidR="00CE4114" w:rsidRPr="00D50E91" w:rsidTr="00BA45D4">
        <w:tc>
          <w:tcPr>
            <w:tcW w:w="540" w:type="dxa"/>
            <w:tcBorders>
              <w:top w:val="single" w:sz="4" w:space="0" w:color="auto"/>
              <w:left w:val="single" w:sz="4" w:space="0" w:color="auto"/>
              <w:bottom w:val="single" w:sz="4" w:space="0" w:color="auto"/>
              <w:right w:val="single" w:sz="4" w:space="0" w:color="auto"/>
            </w:tcBorders>
          </w:tcPr>
          <w:p w:rsidR="00CE4114" w:rsidRPr="00D50E91" w:rsidRDefault="00CE4114" w:rsidP="00107BB1">
            <w:pPr>
              <w:autoSpaceDE w:val="0"/>
              <w:autoSpaceDN w:val="0"/>
              <w:adjustRightInd w:val="0"/>
              <w:ind w:left="56" w:right="56"/>
              <w:jc w:val="center"/>
              <w:rPr>
                <w:sz w:val="20"/>
                <w:szCs w:val="20"/>
              </w:rPr>
            </w:pPr>
            <w:r w:rsidRPr="00D50E91">
              <w:rPr>
                <w:sz w:val="20"/>
                <w:szCs w:val="20"/>
              </w:rPr>
              <w:t xml:space="preserve"> </w:t>
            </w:r>
            <w:r w:rsidR="00107BB1" w:rsidRPr="00D50E91">
              <w:rPr>
                <w:sz w:val="20"/>
                <w:szCs w:val="20"/>
              </w:rPr>
              <w:t>20</w:t>
            </w:r>
          </w:p>
        </w:tc>
        <w:tc>
          <w:tcPr>
            <w:tcW w:w="1632" w:type="dxa"/>
            <w:tcBorders>
              <w:top w:val="nil"/>
              <w:left w:val="single" w:sz="4" w:space="0" w:color="auto"/>
              <w:bottom w:val="nil"/>
              <w:right w:val="single" w:sz="4" w:space="0" w:color="auto"/>
            </w:tcBorders>
          </w:tcPr>
          <w:p w:rsidR="00CE4114" w:rsidRPr="00D50E91" w:rsidRDefault="00CE4114" w:rsidP="00BA45D4">
            <w:pPr>
              <w:autoSpaceDE w:val="0"/>
              <w:autoSpaceDN w:val="0"/>
              <w:adjustRightInd w:val="0"/>
              <w:ind w:left="56" w:right="56"/>
              <w:rPr>
                <w:sz w:val="20"/>
                <w:szCs w:val="20"/>
              </w:rPr>
            </w:pPr>
            <w:r w:rsidRPr="00D50E91">
              <w:rPr>
                <w:sz w:val="20"/>
                <w:szCs w:val="20"/>
              </w:rPr>
              <w:t xml:space="preserve"> (Kizárólag) sport</w:t>
            </w:r>
          </w:p>
        </w:tc>
        <w:tc>
          <w:tcPr>
            <w:tcW w:w="3264"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rPr>
                <w:sz w:val="20"/>
                <w:szCs w:val="20"/>
              </w:rPr>
            </w:pPr>
            <w:r w:rsidRPr="00D50E91">
              <w:rPr>
                <w:sz w:val="20"/>
                <w:szCs w:val="20"/>
              </w:rPr>
              <w:t xml:space="preserve"> sportlétesítmény, ha a kockázati egység a magasság miatt tartozik MK osztályba</w:t>
            </w:r>
          </w:p>
        </w:tc>
        <w:tc>
          <w:tcPr>
            <w:tcW w:w="1632"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z w:val="20"/>
                <w:szCs w:val="20"/>
              </w:rPr>
            </w:pPr>
            <w:r w:rsidRPr="00D50E91">
              <w:rPr>
                <w:sz w:val="20"/>
                <w:szCs w:val="20"/>
              </w:rPr>
              <w:t xml:space="preserve"> </w:t>
            </w:r>
            <w:r w:rsidR="003528A8">
              <w:rPr>
                <w:sz w:val="20"/>
                <w:szCs w:val="20"/>
              </w:rPr>
              <w:t>-</w:t>
            </w:r>
          </w:p>
        </w:tc>
        <w:tc>
          <w:tcPr>
            <w:tcW w:w="1634"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z w:val="20"/>
                <w:szCs w:val="20"/>
              </w:rPr>
            </w:pPr>
            <w:r w:rsidRPr="00D50E91">
              <w:rPr>
                <w:sz w:val="20"/>
                <w:szCs w:val="20"/>
              </w:rPr>
              <w:t xml:space="preserve"> </w:t>
            </w:r>
            <w:r w:rsidR="003528A8">
              <w:rPr>
                <w:sz w:val="20"/>
                <w:szCs w:val="20"/>
              </w:rPr>
              <w:t>-</w:t>
            </w:r>
          </w:p>
        </w:tc>
        <w:tc>
          <w:tcPr>
            <w:tcW w:w="1633"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z w:val="20"/>
                <w:szCs w:val="20"/>
              </w:rPr>
            </w:pPr>
            <w:r w:rsidRPr="00D50E91">
              <w:rPr>
                <w:sz w:val="20"/>
                <w:szCs w:val="20"/>
              </w:rPr>
              <w:t xml:space="preserve"> </w:t>
            </w:r>
            <w:r w:rsidR="003528A8">
              <w:rPr>
                <w:sz w:val="20"/>
                <w:szCs w:val="20"/>
              </w:rPr>
              <w:t>-</w:t>
            </w:r>
          </w:p>
        </w:tc>
        <w:tc>
          <w:tcPr>
            <w:tcW w:w="1634"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z w:val="20"/>
                <w:szCs w:val="20"/>
              </w:rPr>
            </w:pPr>
            <w:r w:rsidRPr="00D50E91">
              <w:rPr>
                <w:sz w:val="20"/>
                <w:szCs w:val="20"/>
              </w:rPr>
              <w:t xml:space="preserve"> </w:t>
            </w:r>
            <w:r w:rsidR="003528A8">
              <w:rPr>
                <w:sz w:val="20"/>
                <w:szCs w:val="20"/>
              </w:rPr>
              <w:t>-</w:t>
            </w:r>
          </w:p>
        </w:tc>
        <w:tc>
          <w:tcPr>
            <w:tcW w:w="1632"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z w:val="20"/>
                <w:szCs w:val="20"/>
              </w:rPr>
            </w:pPr>
            <w:r w:rsidRPr="00D50E91">
              <w:rPr>
                <w:sz w:val="20"/>
                <w:szCs w:val="20"/>
              </w:rPr>
              <w:t xml:space="preserve"> 2 000/3 000</w:t>
            </w:r>
          </w:p>
        </w:tc>
      </w:tr>
      <w:tr w:rsidR="00CE4114" w:rsidRPr="00D50E91" w:rsidTr="00BA45D4">
        <w:tc>
          <w:tcPr>
            <w:tcW w:w="540" w:type="dxa"/>
            <w:tcBorders>
              <w:top w:val="single" w:sz="4" w:space="0" w:color="auto"/>
              <w:left w:val="single" w:sz="4" w:space="0" w:color="auto"/>
              <w:bottom w:val="single" w:sz="4" w:space="0" w:color="auto"/>
              <w:right w:val="single" w:sz="4" w:space="0" w:color="auto"/>
            </w:tcBorders>
          </w:tcPr>
          <w:p w:rsidR="00CE4114" w:rsidRPr="00D50E91" w:rsidRDefault="00CE4114" w:rsidP="00227C6F">
            <w:pPr>
              <w:autoSpaceDE w:val="0"/>
              <w:autoSpaceDN w:val="0"/>
              <w:adjustRightInd w:val="0"/>
              <w:ind w:left="56" w:right="56"/>
              <w:jc w:val="center"/>
              <w:rPr>
                <w:sz w:val="20"/>
                <w:szCs w:val="20"/>
              </w:rPr>
            </w:pPr>
            <w:r w:rsidRPr="00D50E91">
              <w:rPr>
                <w:sz w:val="20"/>
                <w:szCs w:val="20"/>
              </w:rPr>
              <w:t xml:space="preserve"> 2</w:t>
            </w:r>
            <w:r w:rsidR="00227C6F" w:rsidRPr="00D50E91">
              <w:rPr>
                <w:sz w:val="20"/>
                <w:szCs w:val="20"/>
              </w:rPr>
              <w:t>1</w:t>
            </w:r>
          </w:p>
        </w:tc>
        <w:tc>
          <w:tcPr>
            <w:tcW w:w="1632" w:type="dxa"/>
            <w:tcBorders>
              <w:top w:val="nil"/>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rPr>
                <w:sz w:val="20"/>
                <w:szCs w:val="20"/>
              </w:rPr>
            </w:pPr>
            <w:r w:rsidRPr="00D50E91">
              <w:rPr>
                <w:sz w:val="20"/>
                <w:szCs w:val="20"/>
              </w:rPr>
              <w:t xml:space="preserve"> </w:t>
            </w:r>
          </w:p>
        </w:tc>
        <w:tc>
          <w:tcPr>
            <w:tcW w:w="3264"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rPr>
                <w:sz w:val="20"/>
                <w:szCs w:val="20"/>
              </w:rPr>
            </w:pPr>
            <w:r w:rsidRPr="00D50E91">
              <w:rPr>
                <w:sz w:val="20"/>
                <w:szCs w:val="20"/>
              </w:rPr>
              <w:t xml:space="preserve"> sportlétesítmény, ha a kockázati egység nem a magasság miatt tartozik MK osztályba</w:t>
            </w:r>
          </w:p>
        </w:tc>
        <w:tc>
          <w:tcPr>
            <w:tcW w:w="1632"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z w:val="20"/>
                <w:szCs w:val="20"/>
              </w:rPr>
            </w:pPr>
            <w:r w:rsidRPr="00D50E91">
              <w:rPr>
                <w:sz w:val="20"/>
                <w:szCs w:val="20"/>
              </w:rPr>
              <w:t xml:space="preserve"> </w:t>
            </w:r>
            <w:r w:rsidR="003528A8">
              <w:rPr>
                <w:sz w:val="20"/>
                <w:szCs w:val="20"/>
              </w:rPr>
              <w:t>-</w:t>
            </w:r>
          </w:p>
        </w:tc>
        <w:tc>
          <w:tcPr>
            <w:tcW w:w="1634"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z w:val="20"/>
                <w:szCs w:val="20"/>
              </w:rPr>
            </w:pPr>
            <w:r w:rsidRPr="00D50E91">
              <w:rPr>
                <w:sz w:val="20"/>
                <w:szCs w:val="20"/>
              </w:rPr>
              <w:t xml:space="preserve"> </w:t>
            </w:r>
            <w:r w:rsidR="003528A8">
              <w:rPr>
                <w:sz w:val="20"/>
                <w:szCs w:val="20"/>
              </w:rPr>
              <w:t>-</w:t>
            </w:r>
          </w:p>
        </w:tc>
        <w:tc>
          <w:tcPr>
            <w:tcW w:w="1633"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z w:val="20"/>
                <w:szCs w:val="20"/>
              </w:rPr>
            </w:pPr>
            <w:r w:rsidRPr="00D50E91">
              <w:rPr>
                <w:sz w:val="20"/>
                <w:szCs w:val="20"/>
              </w:rPr>
              <w:t xml:space="preserve"> </w:t>
            </w:r>
            <w:r w:rsidR="003528A8">
              <w:rPr>
                <w:sz w:val="20"/>
                <w:szCs w:val="20"/>
              </w:rPr>
              <w:t>-</w:t>
            </w:r>
          </w:p>
        </w:tc>
        <w:tc>
          <w:tcPr>
            <w:tcW w:w="1634"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z w:val="20"/>
                <w:szCs w:val="20"/>
              </w:rPr>
            </w:pPr>
            <w:r w:rsidRPr="00D50E91">
              <w:rPr>
                <w:sz w:val="20"/>
                <w:szCs w:val="20"/>
              </w:rPr>
              <w:t xml:space="preserve"> </w:t>
            </w:r>
            <w:r w:rsidR="003528A8">
              <w:rPr>
                <w:sz w:val="20"/>
                <w:szCs w:val="20"/>
              </w:rPr>
              <w:t>-</w:t>
            </w:r>
          </w:p>
        </w:tc>
        <w:tc>
          <w:tcPr>
            <w:tcW w:w="1632"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z w:val="20"/>
                <w:szCs w:val="20"/>
              </w:rPr>
            </w:pPr>
            <w:r w:rsidRPr="00D50E91">
              <w:rPr>
                <w:sz w:val="20"/>
                <w:szCs w:val="20"/>
              </w:rPr>
              <w:t xml:space="preserve"> 10 000/15 000</w:t>
            </w:r>
          </w:p>
        </w:tc>
      </w:tr>
      <w:tr w:rsidR="00CE4114" w:rsidRPr="00D50E91" w:rsidTr="00BA45D4">
        <w:tc>
          <w:tcPr>
            <w:tcW w:w="540" w:type="dxa"/>
            <w:tcBorders>
              <w:top w:val="single" w:sz="4" w:space="0" w:color="auto"/>
              <w:left w:val="single" w:sz="4" w:space="0" w:color="auto"/>
              <w:bottom w:val="single" w:sz="4" w:space="0" w:color="auto"/>
              <w:right w:val="single" w:sz="4" w:space="0" w:color="auto"/>
            </w:tcBorders>
          </w:tcPr>
          <w:p w:rsidR="00CE4114" w:rsidRPr="00D50E91" w:rsidRDefault="00CE4114" w:rsidP="00CE4114">
            <w:pPr>
              <w:autoSpaceDE w:val="0"/>
              <w:autoSpaceDN w:val="0"/>
              <w:adjustRightInd w:val="0"/>
              <w:ind w:left="56" w:right="56"/>
              <w:jc w:val="center"/>
              <w:rPr>
                <w:sz w:val="20"/>
                <w:szCs w:val="20"/>
              </w:rPr>
            </w:pPr>
            <w:r w:rsidRPr="00D50E91">
              <w:rPr>
                <w:sz w:val="20"/>
                <w:szCs w:val="20"/>
              </w:rPr>
              <w:t xml:space="preserve"> 2</w:t>
            </w:r>
            <w:r w:rsidR="00227C6F" w:rsidRPr="00D50E91">
              <w:rPr>
                <w:sz w:val="20"/>
                <w:szCs w:val="20"/>
              </w:rPr>
              <w:t>2</w:t>
            </w:r>
          </w:p>
        </w:tc>
        <w:tc>
          <w:tcPr>
            <w:tcW w:w="1632"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rPr>
                <w:sz w:val="20"/>
                <w:szCs w:val="20"/>
              </w:rPr>
            </w:pPr>
            <w:r w:rsidRPr="00D50E91">
              <w:rPr>
                <w:sz w:val="20"/>
                <w:szCs w:val="20"/>
              </w:rPr>
              <w:t xml:space="preserve"> Közlekedési</w:t>
            </w:r>
          </w:p>
        </w:tc>
        <w:tc>
          <w:tcPr>
            <w:tcW w:w="3264" w:type="dxa"/>
            <w:tcBorders>
              <w:top w:val="single" w:sz="4" w:space="0" w:color="auto"/>
              <w:left w:val="single" w:sz="4" w:space="0" w:color="auto"/>
              <w:bottom w:val="single" w:sz="4" w:space="0" w:color="auto"/>
              <w:right w:val="single" w:sz="4" w:space="0" w:color="auto"/>
            </w:tcBorders>
          </w:tcPr>
          <w:p w:rsidR="00CE4114" w:rsidRPr="00D50E91" w:rsidRDefault="0066452B" w:rsidP="00BA45D4">
            <w:pPr>
              <w:autoSpaceDE w:val="0"/>
              <w:autoSpaceDN w:val="0"/>
              <w:adjustRightInd w:val="0"/>
              <w:ind w:left="56" w:right="56"/>
              <w:rPr>
                <w:sz w:val="20"/>
                <w:szCs w:val="20"/>
              </w:rPr>
            </w:pPr>
            <w:r w:rsidRPr="00D50E91">
              <w:rPr>
                <w:sz w:val="20"/>
                <w:szCs w:val="20"/>
              </w:rPr>
              <w:t xml:space="preserve"> Á</w:t>
            </w:r>
            <w:r w:rsidR="00CE4114" w:rsidRPr="00D50E91">
              <w:rPr>
                <w:sz w:val="20"/>
                <w:szCs w:val="20"/>
              </w:rPr>
              <w:t>llomás, terminál, hasonló rendeltetések</w:t>
            </w:r>
          </w:p>
        </w:tc>
        <w:tc>
          <w:tcPr>
            <w:tcW w:w="1632"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z w:val="20"/>
                <w:szCs w:val="20"/>
              </w:rPr>
            </w:pPr>
            <w:r w:rsidRPr="00D50E91">
              <w:rPr>
                <w:sz w:val="20"/>
                <w:szCs w:val="20"/>
              </w:rPr>
              <w:t xml:space="preserve"> 1 000/2 000</w:t>
            </w:r>
          </w:p>
        </w:tc>
        <w:tc>
          <w:tcPr>
            <w:tcW w:w="1634"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z w:val="20"/>
                <w:szCs w:val="20"/>
              </w:rPr>
            </w:pPr>
            <w:r w:rsidRPr="00D50E91">
              <w:rPr>
                <w:sz w:val="20"/>
                <w:szCs w:val="20"/>
              </w:rPr>
              <w:t xml:space="preserve"> 4 000/8 000</w:t>
            </w:r>
          </w:p>
        </w:tc>
        <w:tc>
          <w:tcPr>
            <w:tcW w:w="3267" w:type="dxa"/>
            <w:gridSpan w:val="2"/>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z w:val="20"/>
                <w:szCs w:val="20"/>
              </w:rPr>
            </w:pPr>
            <w:r w:rsidRPr="00D50E91">
              <w:rPr>
                <w:sz w:val="20"/>
                <w:szCs w:val="20"/>
              </w:rPr>
              <w:t xml:space="preserve"> 5 000/10 000</w:t>
            </w:r>
          </w:p>
        </w:tc>
        <w:tc>
          <w:tcPr>
            <w:tcW w:w="1632"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z w:val="20"/>
                <w:szCs w:val="20"/>
              </w:rPr>
            </w:pPr>
            <w:r w:rsidRPr="00D50E91">
              <w:rPr>
                <w:sz w:val="20"/>
                <w:szCs w:val="20"/>
              </w:rPr>
              <w:t xml:space="preserve"> 2 000/3 000</w:t>
            </w:r>
          </w:p>
        </w:tc>
      </w:tr>
      <w:tr w:rsidR="00CE4114" w:rsidRPr="00D50E91" w:rsidTr="00BA45D4">
        <w:tc>
          <w:tcPr>
            <w:tcW w:w="540" w:type="dxa"/>
            <w:tcBorders>
              <w:top w:val="single" w:sz="4" w:space="0" w:color="auto"/>
              <w:left w:val="single" w:sz="4" w:space="0" w:color="auto"/>
              <w:bottom w:val="single" w:sz="4" w:space="0" w:color="auto"/>
              <w:right w:val="single" w:sz="4" w:space="0" w:color="auto"/>
            </w:tcBorders>
          </w:tcPr>
          <w:p w:rsidR="00CE4114" w:rsidRPr="00D50E91" w:rsidRDefault="00CE4114" w:rsidP="00CE4114">
            <w:pPr>
              <w:autoSpaceDE w:val="0"/>
              <w:autoSpaceDN w:val="0"/>
              <w:adjustRightInd w:val="0"/>
              <w:ind w:left="56" w:right="56"/>
              <w:jc w:val="center"/>
              <w:rPr>
                <w:sz w:val="20"/>
                <w:szCs w:val="20"/>
              </w:rPr>
            </w:pPr>
            <w:r w:rsidRPr="00D50E91">
              <w:rPr>
                <w:sz w:val="20"/>
                <w:szCs w:val="20"/>
              </w:rPr>
              <w:t xml:space="preserve"> 2</w:t>
            </w:r>
            <w:r w:rsidR="00227C6F" w:rsidRPr="00D50E91">
              <w:rPr>
                <w:sz w:val="20"/>
                <w:szCs w:val="20"/>
              </w:rPr>
              <w:t>3</w:t>
            </w:r>
          </w:p>
        </w:tc>
        <w:tc>
          <w:tcPr>
            <w:tcW w:w="1632" w:type="dxa"/>
            <w:tcBorders>
              <w:top w:val="single" w:sz="4" w:space="0" w:color="auto"/>
              <w:left w:val="single" w:sz="4" w:space="0" w:color="auto"/>
              <w:bottom w:val="nil"/>
              <w:right w:val="single" w:sz="4" w:space="0" w:color="auto"/>
            </w:tcBorders>
          </w:tcPr>
          <w:p w:rsidR="00CE4114" w:rsidRPr="00D50E91" w:rsidRDefault="00CE4114" w:rsidP="00BA45D4">
            <w:pPr>
              <w:autoSpaceDE w:val="0"/>
              <w:autoSpaceDN w:val="0"/>
              <w:adjustRightInd w:val="0"/>
              <w:ind w:left="56" w:right="56"/>
              <w:rPr>
                <w:sz w:val="20"/>
                <w:szCs w:val="20"/>
              </w:rPr>
            </w:pPr>
            <w:r w:rsidRPr="00D50E91">
              <w:rPr>
                <w:sz w:val="20"/>
                <w:szCs w:val="20"/>
              </w:rPr>
              <w:t xml:space="preserve"> Kényszer</w:t>
            </w:r>
            <w:r w:rsidR="003528A8">
              <w:rPr>
                <w:sz w:val="20"/>
                <w:szCs w:val="20"/>
              </w:rPr>
              <w:t>-</w:t>
            </w:r>
          </w:p>
        </w:tc>
        <w:tc>
          <w:tcPr>
            <w:tcW w:w="3264"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rPr>
                <w:sz w:val="20"/>
                <w:szCs w:val="20"/>
              </w:rPr>
            </w:pPr>
            <w:r w:rsidRPr="00D50E91">
              <w:rPr>
                <w:sz w:val="20"/>
                <w:szCs w:val="20"/>
              </w:rPr>
              <w:t xml:space="preserve"> Büntetés</w:t>
            </w:r>
            <w:r w:rsidR="003528A8">
              <w:rPr>
                <w:sz w:val="20"/>
                <w:szCs w:val="20"/>
              </w:rPr>
              <w:t>-</w:t>
            </w:r>
            <w:r w:rsidRPr="00D50E91">
              <w:rPr>
                <w:sz w:val="20"/>
                <w:szCs w:val="20"/>
              </w:rPr>
              <w:t>végrehajtás</w:t>
            </w:r>
          </w:p>
        </w:tc>
        <w:tc>
          <w:tcPr>
            <w:tcW w:w="1632"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z w:val="20"/>
                <w:szCs w:val="20"/>
              </w:rPr>
            </w:pPr>
            <w:r w:rsidRPr="00D50E91">
              <w:rPr>
                <w:sz w:val="20"/>
                <w:szCs w:val="20"/>
              </w:rPr>
              <w:t xml:space="preserve"> </w:t>
            </w:r>
            <w:r w:rsidR="003528A8">
              <w:rPr>
                <w:sz w:val="20"/>
                <w:szCs w:val="20"/>
              </w:rPr>
              <w:t>-</w:t>
            </w:r>
          </w:p>
        </w:tc>
        <w:tc>
          <w:tcPr>
            <w:tcW w:w="1634"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z w:val="20"/>
                <w:szCs w:val="20"/>
              </w:rPr>
            </w:pPr>
            <w:r w:rsidRPr="00D50E91">
              <w:rPr>
                <w:sz w:val="20"/>
                <w:szCs w:val="20"/>
              </w:rPr>
              <w:t xml:space="preserve"> </w:t>
            </w:r>
            <w:r w:rsidR="003528A8">
              <w:rPr>
                <w:sz w:val="20"/>
                <w:szCs w:val="20"/>
              </w:rPr>
              <w:t>-</w:t>
            </w:r>
          </w:p>
        </w:tc>
        <w:tc>
          <w:tcPr>
            <w:tcW w:w="1633"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z w:val="20"/>
                <w:szCs w:val="20"/>
              </w:rPr>
            </w:pPr>
            <w:r w:rsidRPr="00D50E91">
              <w:rPr>
                <w:sz w:val="20"/>
                <w:szCs w:val="20"/>
              </w:rPr>
              <w:t xml:space="preserve"> 2 000/4 000</w:t>
            </w:r>
          </w:p>
        </w:tc>
        <w:tc>
          <w:tcPr>
            <w:tcW w:w="1634"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z w:val="20"/>
                <w:szCs w:val="20"/>
              </w:rPr>
            </w:pPr>
            <w:r w:rsidRPr="00D50E91">
              <w:rPr>
                <w:sz w:val="20"/>
                <w:szCs w:val="20"/>
              </w:rPr>
              <w:t xml:space="preserve"> 1 000/1 500</w:t>
            </w:r>
          </w:p>
        </w:tc>
        <w:tc>
          <w:tcPr>
            <w:tcW w:w="1632"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z w:val="20"/>
                <w:szCs w:val="20"/>
              </w:rPr>
            </w:pPr>
            <w:r w:rsidRPr="00D50E91">
              <w:rPr>
                <w:sz w:val="20"/>
                <w:szCs w:val="20"/>
              </w:rPr>
              <w:t xml:space="preserve"> 500/750</w:t>
            </w:r>
          </w:p>
        </w:tc>
      </w:tr>
      <w:tr w:rsidR="00CE4114" w:rsidRPr="00D50E91" w:rsidTr="00BA45D4">
        <w:tc>
          <w:tcPr>
            <w:tcW w:w="540" w:type="dxa"/>
            <w:tcBorders>
              <w:top w:val="single" w:sz="4" w:space="0" w:color="auto"/>
              <w:left w:val="single" w:sz="4" w:space="0" w:color="auto"/>
              <w:bottom w:val="single" w:sz="4" w:space="0" w:color="auto"/>
              <w:right w:val="single" w:sz="4" w:space="0" w:color="auto"/>
            </w:tcBorders>
          </w:tcPr>
          <w:p w:rsidR="00CE4114" w:rsidRPr="00D50E91" w:rsidRDefault="00CE4114" w:rsidP="00CE4114">
            <w:pPr>
              <w:autoSpaceDE w:val="0"/>
              <w:autoSpaceDN w:val="0"/>
              <w:adjustRightInd w:val="0"/>
              <w:ind w:left="56" w:right="56"/>
              <w:jc w:val="center"/>
              <w:rPr>
                <w:sz w:val="20"/>
                <w:szCs w:val="20"/>
              </w:rPr>
            </w:pPr>
            <w:r w:rsidRPr="00D50E91">
              <w:rPr>
                <w:sz w:val="20"/>
                <w:szCs w:val="20"/>
              </w:rPr>
              <w:t xml:space="preserve"> 2</w:t>
            </w:r>
            <w:r w:rsidR="00227C6F" w:rsidRPr="00D50E91">
              <w:rPr>
                <w:sz w:val="20"/>
                <w:szCs w:val="20"/>
              </w:rPr>
              <w:t>4</w:t>
            </w:r>
          </w:p>
        </w:tc>
        <w:tc>
          <w:tcPr>
            <w:tcW w:w="1632" w:type="dxa"/>
            <w:tcBorders>
              <w:top w:val="nil"/>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rPr>
                <w:sz w:val="20"/>
                <w:szCs w:val="20"/>
              </w:rPr>
            </w:pPr>
            <w:r w:rsidRPr="00D50E91">
              <w:rPr>
                <w:sz w:val="20"/>
                <w:szCs w:val="20"/>
              </w:rPr>
              <w:t xml:space="preserve"> tartózkodás</w:t>
            </w:r>
          </w:p>
        </w:tc>
        <w:tc>
          <w:tcPr>
            <w:tcW w:w="3264"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rPr>
                <w:sz w:val="20"/>
                <w:szCs w:val="20"/>
              </w:rPr>
            </w:pPr>
            <w:r w:rsidRPr="00D50E91">
              <w:rPr>
                <w:sz w:val="20"/>
                <w:szCs w:val="20"/>
              </w:rPr>
              <w:t xml:space="preserve"> Pszichiátria</w:t>
            </w:r>
          </w:p>
        </w:tc>
        <w:tc>
          <w:tcPr>
            <w:tcW w:w="1632"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z w:val="20"/>
                <w:szCs w:val="20"/>
              </w:rPr>
            </w:pPr>
            <w:r w:rsidRPr="00D50E91">
              <w:rPr>
                <w:sz w:val="20"/>
                <w:szCs w:val="20"/>
              </w:rPr>
              <w:t xml:space="preserve"> </w:t>
            </w:r>
            <w:r w:rsidR="003528A8">
              <w:rPr>
                <w:sz w:val="20"/>
                <w:szCs w:val="20"/>
              </w:rPr>
              <w:t>-</w:t>
            </w:r>
          </w:p>
        </w:tc>
        <w:tc>
          <w:tcPr>
            <w:tcW w:w="1634"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z w:val="20"/>
                <w:szCs w:val="20"/>
              </w:rPr>
            </w:pPr>
            <w:r w:rsidRPr="00D50E91">
              <w:rPr>
                <w:sz w:val="20"/>
                <w:szCs w:val="20"/>
              </w:rPr>
              <w:t xml:space="preserve"> </w:t>
            </w:r>
            <w:r w:rsidR="003528A8">
              <w:rPr>
                <w:sz w:val="20"/>
                <w:szCs w:val="20"/>
              </w:rPr>
              <w:t>-</w:t>
            </w:r>
          </w:p>
        </w:tc>
        <w:tc>
          <w:tcPr>
            <w:tcW w:w="1633"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z w:val="20"/>
                <w:szCs w:val="20"/>
              </w:rPr>
            </w:pPr>
            <w:r w:rsidRPr="00D50E91">
              <w:rPr>
                <w:sz w:val="20"/>
                <w:szCs w:val="20"/>
              </w:rPr>
              <w:t xml:space="preserve"> 2 000/4 000</w:t>
            </w:r>
          </w:p>
        </w:tc>
        <w:tc>
          <w:tcPr>
            <w:tcW w:w="1634"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z w:val="20"/>
                <w:szCs w:val="20"/>
              </w:rPr>
            </w:pPr>
            <w:r w:rsidRPr="00D50E91">
              <w:rPr>
                <w:sz w:val="20"/>
                <w:szCs w:val="20"/>
              </w:rPr>
              <w:t xml:space="preserve"> 1 000/1 500</w:t>
            </w:r>
          </w:p>
        </w:tc>
        <w:tc>
          <w:tcPr>
            <w:tcW w:w="1632"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z w:val="20"/>
                <w:szCs w:val="20"/>
              </w:rPr>
            </w:pPr>
            <w:r w:rsidRPr="00D50E91">
              <w:rPr>
                <w:sz w:val="20"/>
                <w:szCs w:val="20"/>
              </w:rPr>
              <w:t xml:space="preserve"> 500/750</w:t>
            </w:r>
          </w:p>
        </w:tc>
      </w:tr>
      <w:tr w:rsidR="00CE4114" w:rsidRPr="00D50E91" w:rsidTr="00BA45D4">
        <w:tc>
          <w:tcPr>
            <w:tcW w:w="540" w:type="dxa"/>
            <w:tcBorders>
              <w:top w:val="single" w:sz="4" w:space="0" w:color="auto"/>
              <w:left w:val="single" w:sz="4" w:space="0" w:color="auto"/>
              <w:bottom w:val="single" w:sz="4" w:space="0" w:color="auto"/>
              <w:right w:val="single" w:sz="4" w:space="0" w:color="auto"/>
            </w:tcBorders>
          </w:tcPr>
          <w:p w:rsidR="00CE4114" w:rsidRPr="00D50E91" w:rsidRDefault="00227C6F" w:rsidP="00BA45D4">
            <w:pPr>
              <w:autoSpaceDE w:val="0"/>
              <w:autoSpaceDN w:val="0"/>
              <w:adjustRightInd w:val="0"/>
              <w:ind w:left="56" w:right="56"/>
              <w:jc w:val="center"/>
              <w:rPr>
                <w:sz w:val="20"/>
                <w:szCs w:val="20"/>
              </w:rPr>
            </w:pPr>
            <w:r w:rsidRPr="00D50E91">
              <w:rPr>
                <w:sz w:val="20"/>
                <w:szCs w:val="20"/>
              </w:rPr>
              <w:t xml:space="preserve"> 25</w:t>
            </w:r>
          </w:p>
        </w:tc>
        <w:tc>
          <w:tcPr>
            <w:tcW w:w="1632" w:type="dxa"/>
            <w:tcBorders>
              <w:top w:val="nil"/>
              <w:left w:val="single" w:sz="4" w:space="0" w:color="auto"/>
              <w:bottom w:val="single" w:sz="4" w:space="0" w:color="auto"/>
              <w:right w:val="single" w:sz="4" w:space="0" w:color="auto"/>
            </w:tcBorders>
          </w:tcPr>
          <w:p w:rsidR="00CE4114" w:rsidRPr="00D50E91" w:rsidRDefault="00BE6F3F" w:rsidP="00BA45D4">
            <w:pPr>
              <w:autoSpaceDE w:val="0"/>
              <w:autoSpaceDN w:val="0"/>
              <w:adjustRightInd w:val="0"/>
              <w:ind w:left="56" w:right="56"/>
              <w:rPr>
                <w:sz w:val="20"/>
                <w:szCs w:val="20"/>
              </w:rPr>
            </w:pPr>
            <w:r w:rsidRPr="00D50E91">
              <w:rPr>
                <w:sz w:val="20"/>
                <w:szCs w:val="20"/>
              </w:rPr>
              <w:t xml:space="preserve"> E</w:t>
            </w:r>
            <w:r w:rsidR="00CE4114" w:rsidRPr="00D50E91">
              <w:rPr>
                <w:sz w:val="20"/>
                <w:szCs w:val="20"/>
              </w:rPr>
              <w:t>gyéb közösségi rendeltetés</w:t>
            </w:r>
          </w:p>
        </w:tc>
        <w:tc>
          <w:tcPr>
            <w:tcW w:w="3264"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rPr>
                <w:sz w:val="20"/>
                <w:szCs w:val="20"/>
              </w:rPr>
            </w:pPr>
            <w:r w:rsidRPr="00D50E91">
              <w:rPr>
                <w:sz w:val="20"/>
                <w:szCs w:val="20"/>
              </w:rPr>
              <w:t xml:space="preserve"> </w:t>
            </w:r>
          </w:p>
        </w:tc>
        <w:tc>
          <w:tcPr>
            <w:tcW w:w="1632"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z w:val="20"/>
                <w:szCs w:val="20"/>
              </w:rPr>
            </w:pPr>
            <w:r w:rsidRPr="00D50E91">
              <w:rPr>
                <w:sz w:val="20"/>
                <w:szCs w:val="20"/>
              </w:rPr>
              <w:t xml:space="preserve"> 1 500/3 000</w:t>
            </w:r>
          </w:p>
        </w:tc>
        <w:tc>
          <w:tcPr>
            <w:tcW w:w="1634"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z w:val="20"/>
                <w:szCs w:val="20"/>
              </w:rPr>
            </w:pPr>
            <w:r w:rsidRPr="00D50E91">
              <w:rPr>
                <w:sz w:val="20"/>
                <w:szCs w:val="20"/>
              </w:rPr>
              <w:t xml:space="preserve"> 4 000/8 000</w:t>
            </w:r>
          </w:p>
        </w:tc>
        <w:tc>
          <w:tcPr>
            <w:tcW w:w="1633"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z w:val="20"/>
                <w:szCs w:val="20"/>
              </w:rPr>
            </w:pPr>
            <w:r w:rsidRPr="00D50E91">
              <w:rPr>
                <w:sz w:val="20"/>
                <w:szCs w:val="20"/>
              </w:rPr>
              <w:t xml:space="preserve"> 4 000/8 000</w:t>
            </w:r>
          </w:p>
        </w:tc>
        <w:tc>
          <w:tcPr>
            <w:tcW w:w="1634"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z w:val="20"/>
                <w:szCs w:val="20"/>
              </w:rPr>
            </w:pPr>
            <w:r w:rsidRPr="00D50E91">
              <w:rPr>
                <w:sz w:val="20"/>
                <w:szCs w:val="20"/>
              </w:rPr>
              <w:t xml:space="preserve"> 3 000/6 000</w:t>
            </w:r>
          </w:p>
        </w:tc>
        <w:tc>
          <w:tcPr>
            <w:tcW w:w="1632" w:type="dxa"/>
            <w:tcBorders>
              <w:top w:val="single" w:sz="4" w:space="0" w:color="auto"/>
              <w:left w:val="single" w:sz="4" w:space="0" w:color="auto"/>
              <w:bottom w:val="single" w:sz="4" w:space="0" w:color="auto"/>
              <w:right w:val="single" w:sz="4" w:space="0" w:color="auto"/>
            </w:tcBorders>
          </w:tcPr>
          <w:p w:rsidR="00CE4114" w:rsidRPr="00D50E91" w:rsidRDefault="00CE4114" w:rsidP="00BA45D4">
            <w:pPr>
              <w:autoSpaceDE w:val="0"/>
              <w:autoSpaceDN w:val="0"/>
              <w:adjustRightInd w:val="0"/>
              <w:ind w:left="56" w:right="56"/>
              <w:jc w:val="center"/>
              <w:rPr>
                <w:sz w:val="20"/>
                <w:szCs w:val="20"/>
              </w:rPr>
            </w:pPr>
            <w:r w:rsidRPr="00D50E91">
              <w:rPr>
                <w:sz w:val="20"/>
                <w:szCs w:val="20"/>
              </w:rPr>
              <w:t xml:space="preserve"> 2 000/3 000</w:t>
            </w:r>
          </w:p>
        </w:tc>
      </w:tr>
    </w:tbl>
    <w:p w:rsidR="005B415B" w:rsidRPr="00D50E91" w:rsidRDefault="005B415B" w:rsidP="00595B18">
      <w:pPr>
        <w:jc w:val="both"/>
      </w:pPr>
    </w:p>
    <w:p w:rsidR="00CE4114" w:rsidRPr="00D50E91" w:rsidRDefault="00CE4114" w:rsidP="00595B18">
      <w:pPr>
        <w:jc w:val="both"/>
      </w:pPr>
    </w:p>
    <w:p w:rsidR="00CE4114" w:rsidRPr="00D50E91" w:rsidRDefault="00CE4114" w:rsidP="00595B18">
      <w:pPr>
        <w:jc w:val="both"/>
      </w:pPr>
    </w:p>
    <w:p w:rsidR="00CE4114" w:rsidRPr="00D50E91" w:rsidRDefault="00CE4114" w:rsidP="00595B18">
      <w:pPr>
        <w:jc w:val="both"/>
      </w:pPr>
    </w:p>
    <w:p w:rsidR="005B415B" w:rsidRPr="00D50E91" w:rsidRDefault="005B415B" w:rsidP="00595B18">
      <w:pPr>
        <w:jc w:val="both"/>
      </w:pPr>
    </w:p>
    <w:p w:rsidR="005B415B" w:rsidRPr="00D50E91" w:rsidRDefault="005B415B" w:rsidP="00CE0726">
      <w:pPr>
        <w:jc w:val="both"/>
        <w:rPr>
          <w:b/>
          <w:sz w:val="20"/>
          <w:szCs w:val="20"/>
        </w:rPr>
      </w:pPr>
      <w:r w:rsidRPr="00D50E91">
        <w:rPr>
          <w:b/>
          <w:sz w:val="20"/>
          <w:szCs w:val="20"/>
        </w:rPr>
        <w:lastRenderedPageBreak/>
        <w:t>2. táblázat, a Tűzszakaszok kialakítása alcímhez</w:t>
      </w:r>
    </w:p>
    <w:p w:rsidR="005B415B" w:rsidRPr="00D50E91" w:rsidRDefault="005B415B" w:rsidP="00595B18">
      <w:pPr>
        <w:jc w:val="both"/>
      </w:pPr>
    </w:p>
    <w:tbl>
      <w:tblPr>
        <w:tblW w:w="13602" w:type="dxa"/>
        <w:tblInd w:w="5" w:type="dxa"/>
        <w:tblLayout w:type="fixed"/>
        <w:tblCellMar>
          <w:left w:w="0" w:type="dxa"/>
          <w:right w:w="0" w:type="dxa"/>
        </w:tblCellMar>
        <w:tblLook w:val="0000" w:firstRow="0" w:lastRow="0" w:firstColumn="0" w:lastColumn="0" w:noHBand="0" w:noVBand="0"/>
      </w:tblPr>
      <w:tblGrid>
        <w:gridCol w:w="562"/>
        <w:gridCol w:w="6236"/>
        <w:gridCol w:w="1700"/>
        <w:gridCol w:w="1700"/>
        <w:gridCol w:w="1700"/>
        <w:gridCol w:w="1704"/>
      </w:tblGrid>
      <w:tr w:rsidR="0049320C" w:rsidRPr="00D50E91" w:rsidTr="00BA45D4">
        <w:tc>
          <w:tcPr>
            <w:tcW w:w="562" w:type="dxa"/>
            <w:tcBorders>
              <w:top w:val="single" w:sz="4" w:space="0" w:color="auto"/>
              <w:left w:val="single" w:sz="4" w:space="0" w:color="auto"/>
              <w:bottom w:val="single" w:sz="4" w:space="0" w:color="auto"/>
              <w:right w:val="single" w:sz="4" w:space="0" w:color="auto"/>
            </w:tcBorders>
          </w:tcPr>
          <w:p w:rsidR="0049320C" w:rsidRPr="00D50E91" w:rsidRDefault="0049320C" w:rsidP="00BA45D4">
            <w:pPr>
              <w:autoSpaceDE w:val="0"/>
              <w:autoSpaceDN w:val="0"/>
              <w:adjustRightInd w:val="0"/>
              <w:rPr>
                <w:sz w:val="20"/>
                <w:szCs w:val="20"/>
              </w:rPr>
            </w:pPr>
          </w:p>
        </w:tc>
        <w:tc>
          <w:tcPr>
            <w:tcW w:w="6236" w:type="dxa"/>
            <w:tcBorders>
              <w:top w:val="single" w:sz="4" w:space="0" w:color="auto"/>
              <w:left w:val="single" w:sz="4" w:space="0" w:color="auto"/>
              <w:bottom w:val="single" w:sz="4" w:space="0" w:color="auto"/>
              <w:right w:val="single" w:sz="4" w:space="0" w:color="auto"/>
            </w:tcBorders>
          </w:tcPr>
          <w:p w:rsidR="0049320C" w:rsidRPr="00D50E91" w:rsidRDefault="0049320C" w:rsidP="00BA45D4">
            <w:pPr>
              <w:autoSpaceDE w:val="0"/>
              <w:autoSpaceDN w:val="0"/>
              <w:adjustRightInd w:val="0"/>
              <w:ind w:left="56" w:right="56"/>
              <w:jc w:val="center"/>
              <w:rPr>
                <w:sz w:val="20"/>
                <w:szCs w:val="20"/>
              </w:rPr>
            </w:pPr>
            <w:r w:rsidRPr="00D50E91">
              <w:rPr>
                <w:sz w:val="20"/>
                <w:szCs w:val="20"/>
              </w:rPr>
              <w:t xml:space="preserve"> A</w:t>
            </w:r>
          </w:p>
        </w:tc>
        <w:tc>
          <w:tcPr>
            <w:tcW w:w="1700" w:type="dxa"/>
            <w:tcBorders>
              <w:top w:val="single" w:sz="4" w:space="0" w:color="auto"/>
              <w:left w:val="single" w:sz="4" w:space="0" w:color="auto"/>
              <w:bottom w:val="single" w:sz="4" w:space="0" w:color="auto"/>
              <w:right w:val="single" w:sz="4" w:space="0" w:color="auto"/>
            </w:tcBorders>
          </w:tcPr>
          <w:p w:rsidR="0049320C" w:rsidRPr="00D50E91" w:rsidRDefault="0049320C" w:rsidP="00BA45D4">
            <w:pPr>
              <w:autoSpaceDE w:val="0"/>
              <w:autoSpaceDN w:val="0"/>
              <w:adjustRightInd w:val="0"/>
              <w:ind w:left="56" w:right="56"/>
              <w:jc w:val="center"/>
              <w:rPr>
                <w:sz w:val="20"/>
                <w:szCs w:val="20"/>
              </w:rPr>
            </w:pPr>
            <w:r w:rsidRPr="00D50E91">
              <w:rPr>
                <w:sz w:val="20"/>
                <w:szCs w:val="20"/>
              </w:rPr>
              <w:t xml:space="preserve"> B</w:t>
            </w:r>
          </w:p>
        </w:tc>
        <w:tc>
          <w:tcPr>
            <w:tcW w:w="1700" w:type="dxa"/>
            <w:tcBorders>
              <w:top w:val="single" w:sz="4" w:space="0" w:color="auto"/>
              <w:left w:val="single" w:sz="4" w:space="0" w:color="auto"/>
              <w:bottom w:val="single" w:sz="4" w:space="0" w:color="auto"/>
              <w:right w:val="single" w:sz="4" w:space="0" w:color="auto"/>
            </w:tcBorders>
          </w:tcPr>
          <w:p w:rsidR="0049320C" w:rsidRPr="00D50E91" w:rsidRDefault="0049320C" w:rsidP="00BA45D4">
            <w:pPr>
              <w:autoSpaceDE w:val="0"/>
              <w:autoSpaceDN w:val="0"/>
              <w:adjustRightInd w:val="0"/>
              <w:ind w:left="56" w:right="56"/>
              <w:jc w:val="center"/>
              <w:rPr>
                <w:sz w:val="20"/>
                <w:szCs w:val="20"/>
              </w:rPr>
            </w:pPr>
            <w:r w:rsidRPr="00D50E91">
              <w:rPr>
                <w:sz w:val="20"/>
                <w:szCs w:val="20"/>
              </w:rPr>
              <w:t xml:space="preserve"> C</w:t>
            </w:r>
          </w:p>
        </w:tc>
        <w:tc>
          <w:tcPr>
            <w:tcW w:w="1700" w:type="dxa"/>
            <w:tcBorders>
              <w:top w:val="single" w:sz="4" w:space="0" w:color="auto"/>
              <w:left w:val="single" w:sz="4" w:space="0" w:color="auto"/>
              <w:bottom w:val="single" w:sz="4" w:space="0" w:color="auto"/>
              <w:right w:val="single" w:sz="4" w:space="0" w:color="auto"/>
            </w:tcBorders>
          </w:tcPr>
          <w:p w:rsidR="0049320C" w:rsidRPr="00D50E91" w:rsidRDefault="0049320C" w:rsidP="00BA45D4">
            <w:pPr>
              <w:autoSpaceDE w:val="0"/>
              <w:autoSpaceDN w:val="0"/>
              <w:adjustRightInd w:val="0"/>
              <w:ind w:left="56" w:right="56"/>
              <w:jc w:val="center"/>
              <w:rPr>
                <w:sz w:val="20"/>
                <w:szCs w:val="20"/>
              </w:rPr>
            </w:pPr>
            <w:r w:rsidRPr="00D50E91">
              <w:rPr>
                <w:sz w:val="20"/>
                <w:szCs w:val="20"/>
              </w:rPr>
              <w:t xml:space="preserve"> D</w:t>
            </w:r>
          </w:p>
        </w:tc>
        <w:tc>
          <w:tcPr>
            <w:tcW w:w="1704" w:type="dxa"/>
            <w:tcBorders>
              <w:top w:val="single" w:sz="4" w:space="0" w:color="auto"/>
              <w:left w:val="single" w:sz="4" w:space="0" w:color="auto"/>
              <w:bottom w:val="single" w:sz="4" w:space="0" w:color="auto"/>
              <w:right w:val="single" w:sz="4" w:space="0" w:color="auto"/>
            </w:tcBorders>
          </w:tcPr>
          <w:p w:rsidR="0049320C" w:rsidRPr="00D50E91" w:rsidRDefault="0049320C" w:rsidP="00BA45D4">
            <w:pPr>
              <w:autoSpaceDE w:val="0"/>
              <w:autoSpaceDN w:val="0"/>
              <w:adjustRightInd w:val="0"/>
              <w:ind w:left="56" w:right="56"/>
              <w:jc w:val="center"/>
              <w:rPr>
                <w:sz w:val="20"/>
                <w:szCs w:val="20"/>
              </w:rPr>
            </w:pPr>
            <w:r w:rsidRPr="00D50E91">
              <w:rPr>
                <w:sz w:val="20"/>
                <w:szCs w:val="20"/>
              </w:rPr>
              <w:t xml:space="preserve"> E</w:t>
            </w:r>
          </w:p>
        </w:tc>
      </w:tr>
      <w:tr w:rsidR="0049320C" w:rsidRPr="00D50E91" w:rsidTr="00BA45D4">
        <w:tc>
          <w:tcPr>
            <w:tcW w:w="562" w:type="dxa"/>
            <w:tcBorders>
              <w:top w:val="single" w:sz="4" w:space="0" w:color="auto"/>
              <w:left w:val="single" w:sz="4" w:space="0" w:color="auto"/>
              <w:bottom w:val="single" w:sz="4" w:space="0" w:color="auto"/>
              <w:right w:val="single" w:sz="4" w:space="0" w:color="auto"/>
            </w:tcBorders>
          </w:tcPr>
          <w:p w:rsidR="0049320C" w:rsidRPr="00D50E91" w:rsidRDefault="0049320C" w:rsidP="00BA45D4">
            <w:pPr>
              <w:autoSpaceDE w:val="0"/>
              <w:autoSpaceDN w:val="0"/>
              <w:adjustRightInd w:val="0"/>
              <w:ind w:left="56" w:right="56"/>
              <w:jc w:val="center"/>
              <w:rPr>
                <w:sz w:val="20"/>
                <w:szCs w:val="20"/>
              </w:rPr>
            </w:pPr>
            <w:r w:rsidRPr="00D50E91">
              <w:rPr>
                <w:sz w:val="20"/>
                <w:szCs w:val="20"/>
              </w:rPr>
              <w:t xml:space="preserve"> 1</w:t>
            </w:r>
          </w:p>
        </w:tc>
        <w:tc>
          <w:tcPr>
            <w:tcW w:w="6236" w:type="dxa"/>
            <w:tcBorders>
              <w:top w:val="single" w:sz="4" w:space="0" w:color="auto"/>
              <w:left w:val="single" w:sz="4" w:space="0" w:color="auto"/>
              <w:bottom w:val="single" w:sz="4" w:space="0" w:color="auto"/>
              <w:right w:val="single" w:sz="4" w:space="0" w:color="auto"/>
            </w:tcBorders>
          </w:tcPr>
          <w:p w:rsidR="0049320C" w:rsidRPr="00D50E91" w:rsidRDefault="0049320C" w:rsidP="00BA45D4">
            <w:pPr>
              <w:autoSpaceDE w:val="0"/>
              <w:autoSpaceDN w:val="0"/>
              <w:adjustRightInd w:val="0"/>
              <w:ind w:left="56" w:right="56"/>
              <w:jc w:val="center"/>
              <w:rPr>
                <w:b/>
                <w:sz w:val="20"/>
                <w:szCs w:val="20"/>
              </w:rPr>
            </w:pPr>
            <w:r w:rsidRPr="00D50E91">
              <w:rPr>
                <w:b/>
                <w:sz w:val="20"/>
                <w:szCs w:val="20"/>
              </w:rPr>
              <w:t xml:space="preserve"> A tárolási rendeltetésű kockázati egységet befogadó épület, önálló épületrész</w:t>
            </w:r>
          </w:p>
        </w:tc>
        <w:tc>
          <w:tcPr>
            <w:tcW w:w="6804" w:type="dxa"/>
            <w:gridSpan w:val="4"/>
            <w:tcBorders>
              <w:top w:val="single" w:sz="4" w:space="0" w:color="auto"/>
              <w:left w:val="single" w:sz="4" w:space="0" w:color="auto"/>
              <w:bottom w:val="single" w:sz="4" w:space="0" w:color="auto"/>
              <w:right w:val="single" w:sz="4" w:space="0" w:color="auto"/>
            </w:tcBorders>
          </w:tcPr>
          <w:p w:rsidR="0049320C" w:rsidRPr="00D50E91" w:rsidRDefault="0049320C" w:rsidP="00BA45D4">
            <w:pPr>
              <w:autoSpaceDE w:val="0"/>
              <w:autoSpaceDN w:val="0"/>
              <w:adjustRightInd w:val="0"/>
              <w:ind w:left="56" w:right="56"/>
              <w:jc w:val="center"/>
              <w:rPr>
                <w:b/>
                <w:sz w:val="20"/>
                <w:szCs w:val="20"/>
              </w:rPr>
            </w:pPr>
            <w:r w:rsidRPr="00D50E91">
              <w:rPr>
                <w:b/>
                <w:sz w:val="20"/>
                <w:szCs w:val="20"/>
              </w:rPr>
              <w:t xml:space="preserve"> A tűzszakasz megengedett legnagyobb alapterülete (m</w:t>
            </w:r>
            <w:r w:rsidRPr="00D50E91">
              <w:rPr>
                <w:b/>
                <w:sz w:val="20"/>
                <w:szCs w:val="20"/>
                <w:vertAlign w:val="superscript"/>
              </w:rPr>
              <w:t>2</w:t>
            </w:r>
            <w:r w:rsidRPr="00D50E91">
              <w:rPr>
                <w:b/>
                <w:sz w:val="20"/>
                <w:szCs w:val="20"/>
              </w:rPr>
              <w:t>), beépített tűzoltó berendezés nélkül/tűzoltó berendezéssel</w:t>
            </w:r>
            <w:r w:rsidRPr="00D50E91">
              <w:rPr>
                <w:b/>
                <w:sz w:val="20"/>
                <w:szCs w:val="20"/>
              </w:rPr>
              <w:br/>
            </w:r>
            <w:r w:rsidRPr="00D50E91">
              <w:rPr>
                <w:sz w:val="20"/>
                <w:szCs w:val="20"/>
              </w:rPr>
              <w:t>A tűzszakasz megengedett térfogata (m</w:t>
            </w:r>
            <w:r w:rsidRPr="00D50E91">
              <w:rPr>
                <w:sz w:val="20"/>
                <w:szCs w:val="20"/>
                <w:vertAlign w:val="superscript"/>
              </w:rPr>
              <w:t>3</w:t>
            </w:r>
            <w:r w:rsidRPr="00D50E91">
              <w:rPr>
                <w:sz w:val="22"/>
                <w:szCs w:val="20"/>
              </w:rPr>
              <w:t xml:space="preserve">) </w:t>
            </w:r>
            <w:r w:rsidRPr="00D50E91">
              <w:rPr>
                <w:sz w:val="20"/>
                <w:szCs w:val="18"/>
              </w:rPr>
              <w:t xml:space="preserve">a megengedett </w:t>
            </w:r>
            <w:r w:rsidRPr="00D50E91">
              <w:rPr>
                <w:sz w:val="20"/>
                <w:szCs w:val="20"/>
              </w:rPr>
              <w:t>alapterület 10</w:t>
            </w:r>
            <w:r w:rsidR="003528A8">
              <w:rPr>
                <w:sz w:val="20"/>
                <w:szCs w:val="20"/>
              </w:rPr>
              <w:t>-</w:t>
            </w:r>
            <w:r w:rsidRPr="00D50E91">
              <w:rPr>
                <w:sz w:val="20"/>
                <w:szCs w:val="20"/>
              </w:rPr>
              <w:t>szerese</w:t>
            </w:r>
          </w:p>
        </w:tc>
      </w:tr>
      <w:tr w:rsidR="0049320C" w:rsidRPr="00D50E91" w:rsidTr="00BA45D4">
        <w:tc>
          <w:tcPr>
            <w:tcW w:w="562" w:type="dxa"/>
            <w:tcBorders>
              <w:top w:val="single" w:sz="4" w:space="0" w:color="auto"/>
              <w:left w:val="single" w:sz="4" w:space="0" w:color="auto"/>
              <w:bottom w:val="single" w:sz="4" w:space="0" w:color="auto"/>
              <w:right w:val="single" w:sz="4" w:space="0" w:color="auto"/>
            </w:tcBorders>
          </w:tcPr>
          <w:p w:rsidR="0049320C" w:rsidRPr="00D50E91" w:rsidRDefault="0049320C" w:rsidP="00BA45D4">
            <w:pPr>
              <w:autoSpaceDE w:val="0"/>
              <w:autoSpaceDN w:val="0"/>
              <w:adjustRightInd w:val="0"/>
              <w:ind w:left="56" w:right="56"/>
              <w:jc w:val="center"/>
              <w:rPr>
                <w:sz w:val="20"/>
                <w:szCs w:val="20"/>
              </w:rPr>
            </w:pPr>
            <w:r w:rsidRPr="00D50E91">
              <w:rPr>
                <w:sz w:val="20"/>
                <w:szCs w:val="20"/>
              </w:rPr>
              <w:t xml:space="preserve"> 2</w:t>
            </w:r>
          </w:p>
        </w:tc>
        <w:tc>
          <w:tcPr>
            <w:tcW w:w="6236" w:type="dxa"/>
            <w:tcBorders>
              <w:top w:val="single" w:sz="4" w:space="0" w:color="auto"/>
              <w:left w:val="single" w:sz="4" w:space="0" w:color="auto"/>
              <w:bottom w:val="single" w:sz="4" w:space="0" w:color="auto"/>
              <w:right w:val="single" w:sz="4" w:space="0" w:color="auto"/>
            </w:tcBorders>
          </w:tcPr>
          <w:p w:rsidR="0049320C" w:rsidRPr="00D50E91" w:rsidRDefault="0049320C" w:rsidP="00BA45D4">
            <w:pPr>
              <w:autoSpaceDE w:val="0"/>
              <w:autoSpaceDN w:val="0"/>
              <w:adjustRightInd w:val="0"/>
              <w:rPr>
                <w:b/>
                <w:sz w:val="20"/>
                <w:szCs w:val="20"/>
              </w:rPr>
            </w:pPr>
            <w:r w:rsidRPr="00D50E91">
              <w:rPr>
                <w:b/>
                <w:sz w:val="20"/>
                <w:szCs w:val="20"/>
              </w:rPr>
              <w:t xml:space="preserve"> </w:t>
            </w:r>
          </w:p>
        </w:tc>
        <w:tc>
          <w:tcPr>
            <w:tcW w:w="6804" w:type="dxa"/>
            <w:gridSpan w:val="4"/>
            <w:tcBorders>
              <w:top w:val="single" w:sz="4" w:space="0" w:color="auto"/>
              <w:left w:val="single" w:sz="4" w:space="0" w:color="auto"/>
              <w:bottom w:val="single" w:sz="4" w:space="0" w:color="auto"/>
              <w:right w:val="single" w:sz="4" w:space="0" w:color="auto"/>
            </w:tcBorders>
          </w:tcPr>
          <w:p w:rsidR="0049320C" w:rsidRPr="00D50E91" w:rsidRDefault="0049320C" w:rsidP="00B771B5">
            <w:pPr>
              <w:autoSpaceDE w:val="0"/>
              <w:autoSpaceDN w:val="0"/>
              <w:adjustRightInd w:val="0"/>
              <w:ind w:left="56" w:right="56"/>
              <w:jc w:val="center"/>
              <w:rPr>
                <w:b/>
                <w:sz w:val="20"/>
                <w:szCs w:val="20"/>
              </w:rPr>
            </w:pPr>
            <w:r w:rsidRPr="00D50E91">
              <w:rPr>
                <w:b/>
                <w:sz w:val="20"/>
                <w:szCs w:val="20"/>
              </w:rPr>
              <w:t xml:space="preserve"> </w:t>
            </w:r>
            <w:r w:rsidR="00B771B5" w:rsidRPr="00D50E91">
              <w:rPr>
                <w:b/>
                <w:sz w:val="20"/>
                <w:szCs w:val="20"/>
              </w:rPr>
              <w:t>A</w:t>
            </w:r>
            <w:r w:rsidRPr="00D50E91">
              <w:rPr>
                <w:b/>
                <w:sz w:val="20"/>
                <w:szCs w:val="20"/>
              </w:rPr>
              <w:t xml:space="preserve"> kockázati egység kockázati osztálya</w:t>
            </w:r>
          </w:p>
        </w:tc>
      </w:tr>
      <w:tr w:rsidR="0049320C" w:rsidRPr="00D50E91" w:rsidTr="00BA45D4">
        <w:tc>
          <w:tcPr>
            <w:tcW w:w="562" w:type="dxa"/>
            <w:tcBorders>
              <w:top w:val="single" w:sz="4" w:space="0" w:color="auto"/>
              <w:left w:val="single" w:sz="4" w:space="0" w:color="auto"/>
              <w:bottom w:val="single" w:sz="4" w:space="0" w:color="auto"/>
              <w:right w:val="single" w:sz="4" w:space="0" w:color="auto"/>
            </w:tcBorders>
          </w:tcPr>
          <w:p w:rsidR="0049320C" w:rsidRPr="00D50E91" w:rsidRDefault="0049320C" w:rsidP="00BA45D4">
            <w:pPr>
              <w:autoSpaceDE w:val="0"/>
              <w:autoSpaceDN w:val="0"/>
              <w:adjustRightInd w:val="0"/>
              <w:ind w:left="56" w:right="56"/>
              <w:jc w:val="center"/>
              <w:rPr>
                <w:sz w:val="20"/>
                <w:szCs w:val="20"/>
              </w:rPr>
            </w:pPr>
            <w:r w:rsidRPr="00D50E91">
              <w:rPr>
                <w:sz w:val="20"/>
                <w:szCs w:val="20"/>
              </w:rPr>
              <w:t xml:space="preserve"> 3</w:t>
            </w:r>
          </w:p>
        </w:tc>
        <w:tc>
          <w:tcPr>
            <w:tcW w:w="6236" w:type="dxa"/>
            <w:tcBorders>
              <w:top w:val="single" w:sz="4" w:space="0" w:color="auto"/>
              <w:left w:val="single" w:sz="4" w:space="0" w:color="auto"/>
              <w:bottom w:val="single" w:sz="4" w:space="0" w:color="auto"/>
              <w:right w:val="single" w:sz="4" w:space="0" w:color="auto"/>
            </w:tcBorders>
          </w:tcPr>
          <w:p w:rsidR="0049320C" w:rsidRPr="00D50E91" w:rsidRDefault="0049320C" w:rsidP="00BA45D4">
            <w:pPr>
              <w:autoSpaceDE w:val="0"/>
              <w:autoSpaceDN w:val="0"/>
              <w:adjustRightInd w:val="0"/>
              <w:rPr>
                <w:sz w:val="20"/>
                <w:szCs w:val="20"/>
              </w:rPr>
            </w:pPr>
            <w:r w:rsidRPr="00D50E91">
              <w:rPr>
                <w:sz w:val="20"/>
                <w:szCs w:val="20"/>
              </w:rPr>
              <w:t xml:space="preserve"> </w:t>
            </w:r>
          </w:p>
        </w:tc>
        <w:tc>
          <w:tcPr>
            <w:tcW w:w="1700" w:type="dxa"/>
            <w:tcBorders>
              <w:top w:val="single" w:sz="4" w:space="0" w:color="auto"/>
              <w:left w:val="single" w:sz="4" w:space="0" w:color="auto"/>
              <w:bottom w:val="single" w:sz="4" w:space="0" w:color="auto"/>
              <w:right w:val="single" w:sz="4" w:space="0" w:color="auto"/>
            </w:tcBorders>
          </w:tcPr>
          <w:p w:rsidR="0049320C" w:rsidRPr="00D50E91" w:rsidRDefault="0049320C" w:rsidP="00BA45D4">
            <w:pPr>
              <w:autoSpaceDE w:val="0"/>
              <w:autoSpaceDN w:val="0"/>
              <w:adjustRightInd w:val="0"/>
              <w:ind w:left="56" w:right="56"/>
              <w:jc w:val="center"/>
              <w:rPr>
                <w:sz w:val="20"/>
                <w:szCs w:val="20"/>
              </w:rPr>
            </w:pPr>
            <w:r w:rsidRPr="00D50E91">
              <w:rPr>
                <w:sz w:val="20"/>
                <w:szCs w:val="20"/>
              </w:rPr>
              <w:t xml:space="preserve"> NAK</w:t>
            </w:r>
          </w:p>
        </w:tc>
        <w:tc>
          <w:tcPr>
            <w:tcW w:w="1700" w:type="dxa"/>
            <w:tcBorders>
              <w:top w:val="single" w:sz="4" w:space="0" w:color="auto"/>
              <w:left w:val="single" w:sz="4" w:space="0" w:color="auto"/>
              <w:bottom w:val="single" w:sz="4" w:space="0" w:color="auto"/>
              <w:right w:val="single" w:sz="4" w:space="0" w:color="auto"/>
            </w:tcBorders>
          </w:tcPr>
          <w:p w:rsidR="0049320C" w:rsidRPr="00D50E91" w:rsidRDefault="0049320C" w:rsidP="00BA45D4">
            <w:pPr>
              <w:autoSpaceDE w:val="0"/>
              <w:autoSpaceDN w:val="0"/>
              <w:adjustRightInd w:val="0"/>
              <w:ind w:left="56" w:right="56"/>
              <w:jc w:val="center"/>
              <w:rPr>
                <w:sz w:val="20"/>
                <w:szCs w:val="20"/>
              </w:rPr>
            </w:pPr>
            <w:r w:rsidRPr="00D50E91">
              <w:rPr>
                <w:sz w:val="20"/>
                <w:szCs w:val="20"/>
              </w:rPr>
              <w:t xml:space="preserve"> AK</w:t>
            </w:r>
          </w:p>
        </w:tc>
        <w:tc>
          <w:tcPr>
            <w:tcW w:w="1700" w:type="dxa"/>
            <w:tcBorders>
              <w:top w:val="single" w:sz="4" w:space="0" w:color="auto"/>
              <w:left w:val="single" w:sz="4" w:space="0" w:color="auto"/>
              <w:bottom w:val="single" w:sz="4" w:space="0" w:color="auto"/>
              <w:right w:val="single" w:sz="4" w:space="0" w:color="auto"/>
            </w:tcBorders>
          </w:tcPr>
          <w:p w:rsidR="0049320C" w:rsidRPr="00D50E91" w:rsidRDefault="0049320C" w:rsidP="00BA45D4">
            <w:pPr>
              <w:autoSpaceDE w:val="0"/>
              <w:autoSpaceDN w:val="0"/>
              <w:adjustRightInd w:val="0"/>
              <w:ind w:left="56" w:right="56"/>
              <w:jc w:val="center"/>
              <w:rPr>
                <w:sz w:val="20"/>
                <w:szCs w:val="20"/>
              </w:rPr>
            </w:pPr>
            <w:r w:rsidRPr="00D50E91">
              <w:rPr>
                <w:sz w:val="20"/>
                <w:szCs w:val="20"/>
              </w:rPr>
              <w:t xml:space="preserve"> KK</w:t>
            </w:r>
          </w:p>
        </w:tc>
        <w:tc>
          <w:tcPr>
            <w:tcW w:w="1704" w:type="dxa"/>
            <w:tcBorders>
              <w:top w:val="single" w:sz="4" w:space="0" w:color="auto"/>
              <w:left w:val="single" w:sz="4" w:space="0" w:color="auto"/>
              <w:bottom w:val="single" w:sz="4" w:space="0" w:color="auto"/>
              <w:right w:val="single" w:sz="4" w:space="0" w:color="auto"/>
            </w:tcBorders>
          </w:tcPr>
          <w:p w:rsidR="0049320C" w:rsidRPr="00D50E91" w:rsidRDefault="0049320C" w:rsidP="00BA45D4">
            <w:pPr>
              <w:autoSpaceDE w:val="0"/>
              <w:autoSpaceDN w:val="0"/>
              <w:adjustRightInd w:val="0"/>
              <w:ind w:left="56" w:right="56"/>
              <w:jc w:val="center"/>
              <w:rPr>
                <w:sz w:val="20"/>
                <w:szCs w:val="20"/>
              </w:rPr>
            </w:pPr>
            <w:r w:rsidRPr="00D50E91">
              <w:rPr>
                <w:sz w:val="20"/>
                <w:szCs w:val="20"/>
              </w:rPr>
              <w:t xml:space="preserve"> MK</w:t>
            </w:r>
          </w:p>
        </w:tc>
      </w:tr>
      <w:tr w:rsidR="0049320C" w:rsidRPr="00D50E91" w:rsidTr="00BA45D4">
        <w:tc>
          <w:tcPr>
            <w:tcW w:w="562" w:type="dxa"/>
            <w:tcBorders>
              <w:top w:val="single" w:sz="4" w:space="0" w:color="auto"/>
              <w:left w:val="single" w:sz="4" w:space="0" w:color="auto"/>
              <w:bottom w:val="single" w:sz="4" w:space="0" w:color="auto"/>
              <w:right w:val="single" w:sz="4" w:space="0" w:color="auto"/>
            </w:tcBorders>
          </w:tcPr>
          <w:p w:rsidR="0049320C" w:rsidRPr="00D50E91" w:rsidRDefault="0049320C" w:rsidP="00BA45D4">
            <w:pPr>
              <w:autoSpaceDE w:val="0"/>
              <w:autoSpaceDN w:val="0"/>
              <w:adjustRightInd w:val="0"/>
              <w:ind w:left="56" w:right="56"/>
              <w:jc w:val="center"/>
              <w:rPr>
                <w:sz w:val="20"/>
                <w:szCs w:val="20"/>
              </w:rPr>
            </w:pPr>
            <w:r w:rsidRPr="00D50E91">
              <w:rPr>
                <w:sz w:val="20"/>
                <w:szCs w:val="20"/>
              </w:rPr>
              <w:t xml:space="preserve"> 4</w:t>
            </w:r>
          </w:p>
        </w:tc>
        <w:tc>
          <w:tcPr>
            <w:tcW w:w="6236" w:type="dxa"/>
            <w:tcBorders>
              <w:top w:val="single" w:sz="4" w:space="0" w:color="auto"/>
              <w:left w:val="single" w:sz="4" w:space="0" w:color="auto"/>
              <w:bottom w:val="single" w:sz="4" w:space="0" w:color="auto"/>
              <w:right w:val="single" w:sz="4" w:space="0" w:color="auto"/>
            </w:tcBorders>
          </w:tcPr>
          <w:p w:rsidR="0049320C" w:rsidRPr="00D50E91" w:rsidRDefault="00BE6F3F" w:rsidP="00BA45D4">
            <w:pPr>
              <w:autoSpaceDE w:val="0"/>
              <w:autoSpaceDN w:val="0"/>
              <w:adjustRightInd w:val="0"/>
              <w:ind w:left="56" w:right="56"/>
              <w:jc w:val="center"/>
              <w:rPr>
                <w:sz w:val="20"/>
                <w:szCs w:val="20"/>
              </w:rPr>
            </w:pPr>
            <w:r w:rsidRPr="00D50E91">
              <w:rPr>
                <w:sz w:val="20"/>
                <w:szCs w:val="20"/>
              </w:rPr>
              <w:t xml:space="preserve"> F</w:t>
            </w:r>
            <w:r w:rsidR="0049320C" w:rsidRPr="00D50E91">
              <w:rPr>
                <w:sz w:val="20"/>
                <w:szCs w:val="20"/>
              </w:rPr>
              <w:t>öldszintes épület, önálló épületrész</w:t>
            </w:r>
          </w:p>
        </w:tc>
        <w:tc>
          <w:tcPr>
            <w:tcW w:w="1700" w:type="dxa"/>
            <w:tcBorders>
              <w:top w:val="single" w:sz="4" w:space="0" w:color="auto"/>
              <w:left w:val="single" w:sz="4" w:space="0" w:color="auto"/>
              <w:bottom w:val="single" w:sz="4" w:space="0" w:color="auto"/>
              <w:right w:val="single" w:sz="4" w:space="0" w:color="auto"/>
            </w:tcBorders>
          </w:tcPr>
          <w:p w:rsidR="0049320C" w:rsidRPr="00D50E91" w:rsidRDefault="0049320C" w:rsidP="00BA45D4">
            <w:pPr>
              <w:autoSpaceDE w:val="0"/>
              <w:autoSpaceDN w:val="0"/>
              <w:adjustRightInd w:val="0"/>
              <w:ind w:left="56" w:right="56"/>
              <w:jc w:val="center"/>
              <w:rPr>
                <w:sz w:val="20"/>
                <w:szCs w:val="20"/>
              </w:rPr>
            </w:pPr>
            <w:r w:rsidRPr="00D50E91">
              <w:rPr>
                <w:sz w:val="20"/>
                <w:szCs w:val="20"/>
              </w:rPr>
              <w:t xml:space="preserve"> 10 000/20 000</w:t>
            </w:r>
          </w:p>
        </w:tc>
        <w:tc>
          <w:tcPr>
            <w:tcW w:w="1700" w:type="dxa"/>
            <w:tcBorders>
              <w:top w:val="single" w:sz="4" w:space="0" w:color="auto"/>
              <w:left w:val="single" w:sz="4" w:space="0" w:color="auto"/>
              <w:bottom w:val="single" w:sz="4" w:space="0" w:color="auto"/>
              <w:right w:val="single" w:sz="4" w:space="0" w:color="auto"/>
            </w:tcBorders>
          </w:tcPr>
          <w:p w:rsidR="0049320C" w:rsidRPr="00D50E91" w:rsidRDefault="0049320C" w:rsidP="00BA45D4">
            <w:pPr>
              <w:autoSpaceDE w:val="0"/>
              <w:autoSpaceDN w:val="0"/>
              <w:adjustRightInd w:val="0"/>
              <w:ind w:left="56" w:right="56"/>
              <w:jc w:val="center"/>
              <w:rPr>
                <w:sz w:val="20"/>
                <w:szCs w:val="20"/>
              </w:rPr>
            </w:pPr>
            <w:r w:rsidRPr="00D50E91">
              <w:rPr>
                <w:sz w:val="20"/>
                <w:szCs w:val="20"/>
              </w:rPr>
              <w:t xml:space="preserve"> 12 000/24 000</w:t>
            </w:r>
          </w:p>
        </w:tc>
        <w:tc>
          <w:tcPr>
            <w:tcW w:w="1700" w:type="dxa"/>
            <w:tcBorders>
              <w:top w:val="single" w:sz="4" w:space="0" w:color="auto"/>
              <w:left w:val="single" w:sz="4" w:space="0" w:color="auto"/>
              <w:bottom w:val="single" w:sz="4" w:space="0" w:color="auto"/>
              <w:right w:val="single" w:sz="4" w:space="0" w:color="auto"/>
            </w:tcBorders>
          </w:tcPr>
          <w:p w:rsidR="0049320C" w:rsidRPr="00D50E91" w:rsidRDefault="0049320C" w:rsidP="00BA45D4">
            <w:pPr>
              <w:autoSpaceDE w:val="0"/>
              <w:autoSpaceDN w:val="0"/>
              <w:adjustRightInd w:val="0"/>
              <w:ind w:left="56" w:right="56"/>
              <w:jc w:val="center"/>
              <w:rPr>
                <w:sz w:val="20"/>
                <w:szCs w:val="20"/>
              </w:rPr>
            </w:pPr>
            <w:r w:rsidRPr="00D50E91">
              <w:rPr>
                <w:sz w:val="20"/>
                <w:szCs w:val="20"/>
              </w:rPr>
              <w:t xml:space="preserve"> 7 000/14 000</w:t>
            </w:r>
          </w:p>
        </w:tc>
        <w:tc>
          <w:tcPr>
            <w:tcW w:w="1704" w:type="dxa"/>
            <w:tcBorders>
              <w:top w:val="single" w:sz="4" w:space="0" w:color="auto"/>
              <w:left w:val="single" w:sz="4" w:space="0" w:color="auto"/>
              <w:bottom w:val="single" w:sz="4" w:space="0" w:color="auto"/>
              <w:right w:val="single" w:sz="4" w:space="0" w:color="auto"/>
            </w:tcBorders>
          </w:tcPr>
          <w:p w:rsidR="0049320C" w:rsidRPr="00D50E91" w:rsidRDefault="0049320C" w:rsidP="00BA45D4">
            <w:pPr>
              <w:autoSpaceDE w:val="0"/>
              <w:autoSpaceDN w:val="0"/>
              <w:adjustRightInd w:val="0"/>
              <w:ind w:right="56"/>
              <w:jc w:val="center"/>
              <w:rPr>
                <w:sz w:val="20"/>
                <w:szCs w:val="20"/>
              </w:rPr>
            </w:pPr>
            <w:r w:rsidRPr="00D50E91">
              <w:rPr>
                <w:sz w:val="20"/>
                <w:szCs w:val="20"/>
              </w:rPr>
              <w:t>4 000/8 000</w:t>
            </w:r>
          </w:p>
        </w:tc>
      </w:tr>
      <w:tr w:rsidR="0049320C" w:rsidRPr="00D50E91" w:rsidTr="00BA45D4">
        <w:tc>
          <w:tcPr>
            <w:tcW w:w="562" w:type="dxa"/>
            <w:tcBorders>
              <w:top w:val="single" w:sz="4" w:space="0" w:color="auto"/>
              <w:left w:val="single" w:sz="4" w:space="0" w:color="auto"/>
              <w:bottom w:val="single" w:sz="4" w:space="0" w:color="auto"/>
              <w:right w:val="single" w:sz="4" w:space="0" w:color="auto"/>
            </w:tcBorders>
          </w:tcPr>
          <w:p w:rsidR="0049320C" w:rsidRPr="00D50E91" w:rsidRDefault="0049320C" w:rsidP="00BA45D4">
            <w:pPr>
              <w:autoSpaceDE w:val="0"/>
              <w:autoSpaceDN w:val="0"/>
              <w:adjustRightInd w:val="0"/>
              <w:ind w:left="56" w:right="56"/>
              <w:jc w:val="center"/>
              <w:rPr>
                <w:sz w:val="20"/>
                <w:szCs w:val="20"/>
              </w:rPr>
            </w:pPr>
            <w:r w:rsidRPr="00D50E91">
              <w:rPr>
                <w:sz w:val="20"/>
                <w:szCs w:val="20"/>
              </w:rPr>
              <w:t xml:space="preserve"> 5</w:t>
            </w:r>
          </w:p>
        </w:tc>
        <w:tc>
          <w:tcPr>
            <w:tcW w:w="6236" w:type="dxa"/>
            <w:tcBorders>
              <w:top w:val="single" w:sz="4" w:space="0" w:color="auto"/>
              <w:left w:val="single" w:sz="4" w:space="0" w:color="auto"/>
              <w:bottom w:val="single" w:sz="4" w:space="0" w:color="auto"/>
              <w:right w:val="single" w:sz="4" w:space="0" w:color="auto"/>
            </w:tcBorders>
          </w:tcPr>
          <w:p w:rsidR="0049320C" w:rsidRPr="00D50E91" w:rsidRDefault="00BE6F3F" w:rsidP="00BA45D4">
            <w:pPr>
              <w:autoSpaceDE w:val="0"/>
              <w:autoSpaceDN w:val="0"/>
              <w:adjustRightInd w:val="0"/>
              <w:ind w:left="56" w:right="56"/>
              <w:jc w:val="center"/>
              <w:rPr>
                <w:sz w:val="20"/>
                <w:szCs w:val="20"/>
              </w:rPr>
            </w:pPr>
            <w:r w:rsidRPr="00D50E91">
              <w:rPr>
                <w:sz w:val="20"/>
                <w:szCs w:val="20"/>
              </w:rPr>
              <w:t xml:space="preserve"> T</w:t>
            </w:r>
            <w:r w:rsidR="0049320C" w:rsidRPr="00D50E91">
              <w:rPr>
                <w:sz w:val="20"/>
                <w:szCs w:val="20"/>
              </w:rPr>
              <w:t>öbb szintből álló épület, önálló épületrész</w:t>
            </w:r>
          </w:p>
        </w:tc>
        <w:tc>
          <w:tcPr>
            <w:tcW w:w="1700" w:type="dxa"/>
            <w:tcBorders>
              <w:top w:val="single" w:sz="4" w:space="0" w:color="auto"/>
              <w:left w:val="single" w:sz="4" w:space="0" w:color="auto"/>
              <w:bottom w:val="single" w:sz="4" w:space="0" w:color="auto"/>
              <w:right w:val="single" w:sz="4" w:space="0" w:color="auto"/>
            </w:tcBorders>
          </w:tcPr>
          <w:p w:rsidR="0049320C" w:rsidRPr="00D50E91" w:rsidRDefault="0049320C" w:rsidP="00BA45D4">
            <w:pPr>
              <w:autoSpaceDE w:val="0"/>
              <w:autoSpaceDN w:val="0"/>
              <w:adjustRightInd w:val="0"/>
              <w:ind w:left="56" w:right="56"/>
              <w:jc w:val="center"/>
              <w:rPr>
                <w:sz w:val="20"/>
                <w:szCs w:val="20"/>
              </w:rPr>
            </w:pPr>
            <w:r w:rsidRPr="00D50E91">
              <w:rPr>
                <w:sz w:val="20"/>
                <w:szCs w:val="20"/>
              </w:rPr>
              <w:t xml:space="preserve"> 8 000/16 000</w:t>
            </w:r>
          </w:p>
        </w:tc>
        <w:tc>
          <w:tcPr>
            <w:tcW w:w="1700" w:type="dxa"/>
            <w:tcBorders>
              <w:top w:val="single" w:sz="4" w:space="0" w:color="auto"/>
              <w:left w:val="single" w:sz="4" w:space="0" w:color="auto"/>
              <w:bottom w:val="single" w:sz="4" w:space="0" w:color="auto"/>
              <w:right w:val="single" w:sz="4" w:space="0" w:color="auto"/>
            </w:tcBorders>
          </w:tcPr>
          <w:p w:rsidR="0049320C" w:rsidRPr="00D50E91" w:rsidRDefault="0049320C" w:rsidP="00BA45D4">
            <w:pPr>
              <w:autoSpaceDE w:val="0"/>
              <w:autoSpaceDN w:val="0"/>
              <w:adjustRightInd w:val="0"/>
              <w:ind w:left="56" w:right="56"/>
              <w:jc w:val="center"/>
              <w:rPr>
                <w:sz w:val="20"/>
                <w:szCs w:val="20"/>
              </w:rPr>
            </w:pPr>
            <w:r w:rsidRPr="00D50E91">
              <w:rPr>
                <w:sz w:val="20"/>
                <w:szCs w:val="20"/>
              </w:rPr>
              <w:t xml:space="preserve"> 10 000/20 000</w:t>
            </w:r>
          </w:p>
        </w:tc>
        <w:tc>
          <w:tcPr>
            <w:tcW w:w="1700" w:type="dxa"/>
            <w:tcBorders>
              <w:top w:val="single" w:sz="4" w:space="0" w:color="auto"/>
              <w:left w:val="single" w:sz="4" w:space="0" w:color="auto"/>
              <w:bottom w:val="single" w:sz="4" w:space="0" w:color="auto"/>
              <w:right w:val="single" w:sz="4" w:space="0" w:color="auto"/>
            </w:tcBorders>
          </w:tcPr>
          <w:p w:rsidR="0049320C" w:rsidRPr="00D50E91" w:rsidRDefault="0049320C" w:rsidP="00BA45D4">
            <w:pPr>
              <w:autoSpaceDE w:val="0"/>
              <w:autoSpaceDN w:val="0"/>
              <w:adjustRightInd w:val="0"/>
              <w:ind w:left="56" w:right="56"/>
              <w:jc w:val="center"/>
              <w:rPr>
                <w:sz w:val="20"/>
                <w:szCs w:val="20"/>
              </w:rPr>
            </w:pPr>
            <w:r w:rsidRPr="00D50E91">
              <w:rPr>
                <w:sz w:val="20"/>
                <w:szCs w:val="20"/>
              </w:rPr>
              <w:t xml:space="preserve"> 5 000/10 000</w:t>
            </w:r>
          </w:p>
        </w:tc>
        <w:tc>
          <w:tcPr>
            <w:tcW w:w="1704" w:type="dxa"/>
            <w:tcBorders>
              <w:top w:val="single" w:sz="4" w:space="0" w:color="auto"/>
              <w:left w:val="single" w:sz="4" w:space="0" w:color="auto"/>
              <w:bottom w:val="single" w:sz="4" w:space="0" w:color="auto"/>
              <w:right w:val="single" w:sz="4" w:space="0" w:color="auto"/>
            </w:tcBorders>
          </w:tcPr>
          <w:p w:rsidR="0049320C" w:rsidRPr="00D50E91" w:rsidRDefault="0049320C" w:rsidP="00BA45D4">
            <w:pPr>
              <w:autoSpaceDE w:val="0"/>
              <w:autoSpaceDN w:val="0"/>
              <w:adjustRightInd w:val="0"/>
              <w:ind w:left="56" w:right="56"/>
              <w:jc w:val="center"/>
              <w:rPr>
                <w:sz w:val="20"/>
                <w:szCs w:val="20"/>
              </w:rPr>
            </w:pPr>
            <w:r w:rsidRPr="00D50E91">
              <w:rPr>
                <w:sz w:val="20"/>
                <w:szCs w:val="20"/>
              </w:rPr>
              <w:t xml:space="preserve"> 3 000/6 000</w:t>
            </w:r>
          </w:p>
        </w:tc>
      </w:tr>
      <w:tr w:rsidR="0049320C" w:rsidRPr="00D50E91" w:rsidTr="00BA45D4">
        <w:tc>
          <w:tcPr>
            <w:tcW w:w="562" w:type="dxa"/>
            <w:tcBorders>
              <w:top w:val="single" w:sz="4" w:space="0" w:color="auto"/>
              <w:left w:val="single" w:sz="4" w:space="0" w:color="auto"/>
              <w:bottom w:val="single" w:sz="4" w:space="0" w:color="auto"/>
              <w:right w:val="single" w:sz="4" w:space="0" w:color="auto"/>
            </w:tcBorders>
          </w:tcPr>
          <w:p w:rsidR="0049320C" w:rsidRPr="00D50E91" w:rsidRDefault="0049320C" w:rsidP="00BA45D4">
            <w:pPr>
              <w:autoSpaceDE w:val="0"/>
              <w:autoSpaceDN w:val="0"/>
              <w:adjustRightInd w:val="0"/>
              <w:ind w:left="56" w:right="56"/>
              <w:jc w:val="center"/>
              <w:rPr>
                <w:sz w:val="20"/>
                <w:szCs w:val="20"/>
              </w:rPr>
            </w:pPr>
            <w:r w:rsidRPr="00D50E91">
              <w:rPr>
                <w:sz w:val="20"/>
                <w:szCs w:val="20"/>
              </w:rPr>
              <w:t xml:space="preserve"> 6</w:t>
            </w:r>
          </w:p>
        </w:tc>
        <w:tc>
          <w:tcPr>
            <w:tcW w:w="6236" w:type="dxa"/>
            <w:tcBorders>
              <w:top w:val="single" w:sz="4" w:space="0" w:color="auto"/>
              <w:left w:val="single" w:sz="4" w:space="0" w:color="auto"/>
              <w:bottom w:val="single" w:sz="4" w:space="0" w:color="auto"/>
              <w:right w:val="single" w:sz="4" w:space="0" w:color="auto"/>
            </w:tcBorders>
          </w:tcPr>
          <w:p w:rsidR="0049320C" w:rsidRPr="00D50E91" w:rsidRDefault="00BE6F3F" w:rsidP="00BA45D4">
            <w:pPr>
              <w:autoSpaceDE w:val="0"/>
              <w:autoSpaceDN w:val="0"/>
              <w:adjustRightInd w:val="0"/>
              <w:ind w:left="56" w:right="56"/>
              <w:jc w:val="center"/>
              <w:rPr>
                <w:sz w:val="20"/>
                <w:szCs w:val="20"/>
              </w:rPr>
            </w:pPr>
            <w:r w:rsidRPr="00D50E91">
              <w:rPr>
                <w:sz w:val="20"/>
                <w:szCs w:val="20"/>
              </w:rPr>
              <w:t xml:space="preserve"> R</w:t>
            </w:r>
            <w:r w:rsidR="0049320C" w:rsidRPr="00D50E91">
              <w:rPr>
                <w:sz w:val="20"/>
                <w:szCs w:val="20"/>
              </w:rPr>
              <w:t>észben vagy teljesen pinceszinti tűzszakasz</w:t>
            </w:r>
          </w:p>
        </w:tc>
        <w:tc>
          <w:tcPr>
            <w:tcW w:w="1700" w:type="dxa"/>
            <w:tcBorders>
              <w:top w:val="single" w:sz="4" w:space="0" w:color="auto"/>
              <w:left w:val="single" w:sz="4" w:space="0" w:color="auto"/>
              <w:bottom w:val="single" w:sz="4" w:space="0" w:color="auto"/>
              <w:right w:val="single" w:sz="4" w:space="0" w:color="auto"/>
            </w:tcBorders>
          </w:tcPr>
          <w:p w:rsidR="0049320C" w:rsidRPr="00D50E91" w:rsidRDefault="0049320C" w:rsidP="00BA45D4">
            <w:pPr>
              <w:autoSpaceDE w:val="0"/>
              <w:autoSpaceDN w:val="0"/>
              <w:adjustRightInd w:val="0"/>
              <w:ind w:left="56" w:right="56"/>
              <w:jc w:val="center"/>
              <w:rPr>
                <w:sz w:val="20"/>
                <w:szCs w:val="20"/>
              </w:rPr>
            </w:pPr>
            <w:r w:rsidRPr="00D50E91">
              <w:rPr>
                <w:sz w:val="20"/>
                <w:szCs w:val="20"/>
              </w:rPr>
              <w:t xml:space="preserve"> 4 000/8 000</w:t>
            </w:r>
          </w:p>
        </w:tc>
        <w:tc>
          <w:tcPr>
            <w:tcW w:w="1700" w:type="dxa"/>
            <w:tcBorders>
              <w:top w:val="single" w:sz="4" w:space="0" w:color="auto"/>
              <w:left w:val="single" w:sz="4" w:space="0" w:color="auto"/>
              <w:bottom w:val="single" w:sz="4" w:space="0" w:color="auto"/>
              <w:right w:val="single" w:sz="4" w:space="0" w:color="auto"/>
            </w:tcBorders>
          </w:tcPr>
          <w:p w:rsidR="0049320C" w:rsidRPr="00D50E91" w:rsidRDefault="0049320C" w:rsidP="00BA45D4">
            <w:pPr>
              <w:autoSpaceDE w:val="0"/>
              <w:autoSpaceDN w:val="0"/>
              <w:adjustRightInd w:val="0"/>
              <w:ind w:left="56" w:right="56"/>
              <w:jc w:val="center"/>
              <w:rPr>
                <w:sz w:val="20"/>
                <w:szCs w:val="20"/>
              </w:rPr>
            </w:pPr>
            <w:r w:rsidRPr="00D50E91">
              <w:rPr>
                <w:sz w:val="20"/>
                <w:szCs w:val="20"/>
              </w:rPr>
              <w:t xml:space="preserve"> 5 000/10 000</w:t>
            </w:r>
          </w:p>
        </w:tc>
        <w:tc>
          <w:tcPr>
            <w:tcW w:w="1700" w:type="dxa"/>
            <w:tcBorders>
              <w:top w:val="single" w:sz="4" w:space="0" w:color="auto"/>
              <w:left w:val="single" w:sz="4" w:space="0" w:color="auto"/>
              <w:bottom w:val="single" w:sz="4" w:space="0" w:color="auto"/>
              <w:right w:val="single" w:sz="4" w:space="0" w:color="auto"/>
            </w:tcBorders>
          </w:tcPr>
          <w:p w:rsidR="0049320C" w:rsidRPr="00D50E91" w:rsidRDefault="0049320C" w:rsidP="00BA45D4">
            <w:pPr>
              <w:autoSpaceDE w:val="0"/>
              <w:autoSpaceDN w:val="0"/>
              <w:adjustRightInd w:val="0"/>
              <w:ind w:left="56" w:right="56"/>
              <w:jc w:val="center"/>
              <w:rPr>
                <w:sz w:val="20"/>
                <w:szCs w:val="20"/>
              </w:rPr>
            </w:pPr>
            <w:r w:rsidRPr="00D50E91">
              <w:rPr>
                <w:sz w:val="20"/>
                <w:szCs w:val="20"/>
              </w:rPr>
              <w:t xml:space="preserve"> 2 500/10 000</w:t>
            </w:r>
          </w:p>
        </w:tc>
        <w:tc>
          <w:tcPr>
            <w:tcW w:w="1704" w:type="dxa"/>
            <w:tcBorders>
              <w:top w:val="single" w:sz="4" w:space="0" w:color="auto"/>
              <w:left w:val="single" w:sz="4" w:space="0" w:color="auto"/>
              <w:bottom w:val="single" w:sz="4" w:space="0" w:color="auto"/>
              <w:right w:val="single" w:sz="4" w:space="0" w:color="auto"/>
            </w:tcBorders>
          </w:tcPr>
          <w:p w:rsidR="0049320C" w:rsidRPr="00D50E91" w:rsidRDefault="0049320C" w:rsidP="00BA45D4">
            <w:pPr>
              <w:autoSpaceDE w:val="0"/>
              <w:autoSpaceDN w:val="0"/>
              <w:adjustRightInd w:val="0"/>
              <w:ind w:left="56" w:right="56"/>
              <w:jc w:val="center"/>
              <w:rPr>
                <w:sz w:val="20"/>
                <w:szCs w:val="20"/>
              </w:rPr>
            </w:pPr>
            <w:r w:rsidRPr="00D50E91">
              <w:rPr>
                <w:sz w:val="20"/>
                <w:szCs w:val="20"/>
              </w:rPr>
              <w:t xml:space="preserve"> 1 500/3 000</w:t>
            </w:r>
          </w:p>
        </w:tc>
      </w:tr>
    </w:tbl>
    <w:p w:rsidR="005B415B" w:rsidRPr="00D50E91" w:rsidRDefault="005B415B" w:rsidP="00595B18">
      <w:pPr>
        <w:jc w:val="both"/>
      </w:pPr>
    </w:p>
    <w:p w:rsidR="005B415B" w:rsidRPr="00D50E91" w:rsidRDefault="005B415B" w:rsidP="00595B18">
      <w:pPr>
        <w:jc w:val="both"/>
      </w:pPr>
    </w:p>
    <w:p w:rsidR="005B415B" w:rsidRPr="00D50E91" w:rsidRDefault="005B415B" w:rsidP="00CE0726">
      <w:pPr>
        <w:jc w:val="both"/>
        <w:rPr>
          <w:b/>
          <w:sz w:val="20"/>
          <w:szCs w:val="20"/>
        </w:rPr>
      </w:pPr>
      <w:r w:rsidRPr="00D50E91">
        <w:rPr>
          <w:b/>
          <w:sz w:val="20"/>
          <w:szCs w:val="20"/>
        </w:rPr>
        <w:t>3. táblázat, a Tűzszakaszok kialakítása alcímhez</w:t>
      </w:r>
    </w:p>
    <w:p w:rsidR="005B415B" w:rsidRPr="00D50E91" w:rsidRDefault="005B415B" w:rsidP="00595B18">
      <w:pPr>
        <w:jc w:val="both"/>
      </w:pPr>
    </w:p>
    <w:tbl>
      <w:tblPr>
        <w:tblW w:w="0" w:type="auto"/>
        <w:tblInd w:w="5" w:type="dxa"/>
        <w:tblLayout w:type="fixed"/>
        <w:tblCellMar>
          <w:left w:w="0" w:type="dxa"/>
          <w:right w:w="0" w:type="dxa"/>
        </w:tblCellMar>
        <w:tblLook w:val="0000" w:firstRow="0" w:lastRow="0" w:firstColumn="0" w:lastColumn="0" w:noHBand="0" w:noVBand="0"/>
      </w:tblPr>
      <w:tblGrid>
        <w:gridCol w:w="562"/>
        <w:gridCol w:w="6236"/>
        <w:gridCol w:w="1700"/>
        <w:gridCol w:w="1700"/>
        <w:gridCol w:w="1700"/>
        <w:gridCol w:w="1704"/>
      </w:tblGrid>
      <w:tr w:rsidR="0049320C" w:rsidRPr="00D50E91" w:rsidTr="00BA45D4">
        <w:tc>
          <w:tcPr>
            <w:tcW w:w="562" w:type="dxa"/>
            <w:tcBorders>
              <w:top w:val="single" w:sz="4" w:space="0" w:color="auto"/>
              <w:left w:val="single" w:sz="4" w:space="0" w:color="auto"/>
              <w:bottom w:val="single" w:sz="4" w:space="0" w:color="auto"/>
              <w:right w:val="single" w:sz="4" w:space="0" w:color="auto"/>
            </w:tcBorders>
          </w:tcPr>
          <w:p w:rsidR="0049320C" w:rsidRPr="00D50E91" w:rsidRDefault="0049320C" w:rsidP="00BA45D4">
            <w:pPr>
              <w:autoSpaceDE w:val="0"/>
              <w:autoSpaceDN w:val="0"/>
              <w:adjustRightInd w:val="0"/>
              <w:rPr>
                <w:sz w:val="20"/>
                <w:szCs w:val="20"/>
              </w:rPr>
            </w:pPr>
          </w:p>
        </w:tc>
        <w:tc>
          <w:tcPr>
            <w:tcW w:w="6236" w:type="dxa"/>
            <w:tcBorders>
              <w:top w:val="single" w:sz="4" w:space="0" w:color="auto"/>
              <w:left w:val="single" w:sz="4" w:space="0" w:color="auto"/>
              <w:bottom w:val="single" w:sz="4" w:space="0" w:color="auto"/>
              <w:right w:val="single" w:sz="4" w:space="0" w:color="auto"/>
            </w:tcBorders>
          </w:tcPr>
          <w:p w:rsidR="0049320C" w:rsidRPr="00D50E91" w:rsidRDefault="0049320C" w:rsidP="00BA45D4">
            <w:pPr>
              <w:autoSpaceDE w:val="0"/>
              <w:autoSpaceDN w:val="0"/>
              <w:adjustRightInd w:val="0"/>
              <w:ind w:left="56" w:right="56"/>
              <w:jc w:val="center"/>
              <w:rPr>
                <w:sz w:val="20"/>
                <w:szCs w:val="20"/>
              </w:rPr>
            </w:pPr>
            <w:r w:rsidRPr="00D50E91">
              <w:rPr>
                <w:sz w:val="20"/>
                <w:szCs w:val="20"/>
              </w:rPr>
              <w:t xml:space="preserve"> A</w:t>
            </w:r>
          </w:p>
        </w:tc>
        <w:tc>
          <w:tcPr>
            <w:tcW w:w="1700" w:type="dxa"/>
            <w:tcBorders>
              <w:top w:val="single" w:sz="4" w:space="0" w:color="auto"/>
              <w:left w:val="single" w:sz="4" w:space="0" w:color="auto"/>
              <w:bottom w:val="single" w:sz="4" w:space="0" w:color="auto"/>
              <w:right w:val="single" w:sz="4" w:space="0" w:color="auto"/>
            </w:tcBorders>
          </w:tcPr>
          <w:p w:rsidR="0049320C" w:rsidRPr="00D50E91" w:rsidRDefault="0049320C" w:rsidP="00BA45D4">
            <w:pPr>
              <w:autoSpaceDE w:val="0"/>
              <w:autoSpaceDN w:val="0"/>
              <w:adjustRightInd w:val="0"/>
              <w:ind w:left="56" w:right="56"/>
              <w:jc w:val="center"/>
              <w:rPr>
                <w:sz w:val="20"/>
                <w:szCs w:val="20"/>
              </w:rPr>
            </w:pPr>
            <w:r w:rsidRPr="00D50E91">
              <w:rPr>
                <w:sz w:val="20"/>
                <w:szCs w:val="20"/>
              </w:rPr>
              <w:t xml:space="preserve"> B</w:t>
            </w:r>
          </w:p>
        </w:tc>
        <w:tc>
          <w:tcPr>
            <w:tcW w:w="1700" w:type="dxa"/>
            <w:tcBorders>
              <w:top w:val="single" w:sz="4" w:space="0" w:color="auto"/>
              <w:left w:val="single" w:sz="4" w:space="0" w:color="auto"/>
              <w:bottom w:val="single" w:sz="4" w:space="0" w:color="auto"/>
              <w:right w:val="single" w:sz="4" w:space="0" w:color="auto"/>
            </w:tcBorders>
          </w:tcPr>
          <w:p w:rsidR="0049320C" w:rsidRPr="00D50E91" w:rsidRDefault="0049320C" w:rsidP="00BA45D4">
            <w:pPr>
              <w:autoSpaceDE w:val="0"/>
              <w:autoSpaceDN w:val="0"/>
              <w:adjustRightInd w:val="0"/>
              <w:ind w:left="56" w:right="56"/>
              <w:jc w:val="center"/>
              <w:rPr>
                <w:sz w:val="20"/>
                <w:szCs w:val="20"/>
              </w:rPr>
            </w:pPr>
            <w:r w:rsidRPr="00D50E91">
              <w:rPr>
                <w:sz w:val="20"/>
                <w:szCs w:val="20"/>
              </w:rPr>
              <w:t xml:space="preserve"> C</w:t>
            </w:r>
          </w:p>
        </w:tc>
        <w:tc>
          <w:tcPr>
            <w:tcW w:w="1700" w:type="dxa"/>
            <w:tcBorders>
              <w:top w:val="single" w:sz="4" w:space="0" w:color="auto"/>
              <w:left w:val="single" w:sz="4" w:space="0" w:color="auto"/>
              <w:bottom w:val="single" w:sz="4" w:space="0" w:color="auto"/>
              <w:right w:val="single" w:sz="4" w:space="0" w:color="auto"/>
            </w:tcBorders>
          </w:tcPr>
          <w:p w:rsidR="0049320C" w:rsidRPr="00D50E91" w:rsidRDefault="0049320C" w:rsidP="00BA45D4">
            <w:pPr>
              <w:autoSpaceDE w:val="0"/>
              <w:autoSpaceDN w:val="0"/>
              <w:adjustRightInd w:val="0"/>
              <w:ind w:left="56" w:right="56"/>
              <w:jc w:val="center"/>
              <w:rPr>
                <w:sz w:val="20"/>
                <w:szCs w:val="20"/>
              </w:rPr>
            </w:pPr>
            <w:r w:rsidRPr="00D50E91">
              <w:rPr>
                <w:sz w:val="20"/>
                <w:szCs w:val="20"/>
              </w:rPr>
              <w:t xml:space="preserve"> D</w:t>
            </w:r>
          </w:p>
        </w:tc>
        <w:tc>
          <w:tcPr>
            <w:tcW w:w="1704" w:type="dxa"/>
            <w:tcBorders>
              <w:top w:val="single" w:sz="4" w:space="0" w:color="auto"/>
              <w:left w:val="single" w:sz="4" w:space="0" w:color="auto"/>
              <w:bottom w:val="single" w:sz="4" w:space="0" w:color="auto"/>
              <w:right w:val="single" w:sz="4" w:space="0" w:color="auto"/>
            </w:tcBorders>
          </w:tcPr>
          <w:p w:rsidR="0049320C" w:rsidRPr="00D50E91" w:rsidRDefault="0049320C" w:rsidP="00BA45D4">
            <w:pPr>
              <w:autoSpaceDE w:val="0"/>
              <w:autoSpaceDN w:val="0"/>
              <w:adjustRightInd w:val="0"/>
              <w:ind w:left="56" w:right="56"/>
              <w:jc w:val="center"/>
              <w:rPr>
                <w:sz w:val="20"/>
                <w:szCs w:val="20"/>
              </w:rPr>
            </w:pPr>
            <w:r w:rsidRPr="00D50E91">
              <w:rPr>
                <w:sz w:val="20"/>
                <w:szCs w:val="20"/>
              </w:rPr>
              <w:t xml:space="preserve"> E</w:t>
            </w:r>
          </w:p>
        </w:tc>
      </w:tr>
      <w:tr w:rsidR="0049320C" w:rsidRPr="00D50E91" w:rsidTr="00BA45D4">
        <w:tc>
          <w:tcPr>
            <w:tcW w:w="562" w:type="dxa"/>
            <w:tcBorders>
              <w:top w:val="single" w:sz="4" w:space="0" w:color="auto"/>
              <w:left w:val="single" w:sz="4" w:space="0" w:color="auto"/>
              <w:bottom w:val="single" w:sz="4" w:space="0" w:color="auto"/>
              <w:right w:val="single" w:sz="4" w:space="0" w:color="auto"/>
            </w:tcBorders>
          </w:tcPr>
          <w:p w:rsidR="0049320C" w:rsidRPr="00D50E91" w:rsidRDefault="0049320C" w:rsidP="00BA45D4">
            <w:pPr>
              <w:autoSpaceDE w:val="0"/>
              <w:autoSpaceDN w:val="0"/>
              <w:adjustRightInd w:val="0"/>
              <w:ind w:left="56" w:right="56"/>
              <w:jc w:val="center"/>
              <w:rPr>
                <w:sz w:val="20"/>
                <w:szCs w:val="20"/>
              </w:rPr>
            </w:pPr>
            <w:r w:rsidRPr="00D50E91">
              <w:rPr>
                <w:sz w:val="20"/>
                <w:szCs w:val="20"/>
              </w:rPr>
              <w:t xml:space="preserve"> 1</w:t>
            </w:r>
          </w:p>
        </w:tc>
        <w:tc>
          <w:tcPr>
            <w:tcW w:w="6236" w:type="dxa"/>
            <w:tcBorders>
              <w:top w:val="single" w:sz="4" w:space="0" w:color="auto"/>
              <w:left w:val="single" w:sz="4" w:space="0" w:color="auto"/>
              <w:bottom w:val="single" w:sz="4" w:space="0" w:color="auto"/>
              <w:right w:val="single" w:sz="4" w:space="0" w:color="auto"/>
            </w:tcBorders>
          </w:tcPr>
          <w:p w:rsidR="0049320C" w:rsidRPr="00D50E91" w:rsidRDefault="0049320C" w:rsidP="00BA45D4">
            <w:pPr>
              <w:autoSpaceDE w:val="0"/>
              <w:autoSpaceDN w:val="0"/>
              <w:adjustRightInd w:val="0"/>
              <w:ind w:left="56" w:right="56"/>
              <w:jc w:val="center"/>
              <w:rPr>
                <w:b/>
                <w:sz w:val="20"/>
                <w:szCs w:val="20"/>
              </w:rPr>
            </w:pPr>
            <w:r w:rsidRPr="00D50E91">
              <w:rPr>
                <w:b/>
                <w:sz w:val="20"/>
                <w:szCs w:val="20"/>
              </w:rPr>
              <w:t xml:space="preserve"> Az ipari, mezőgazdasági rendeltetésű kockázati egységet befogadó épület, önálló épületrész</w:t>
            </w:r>
          </w:p>
        </w:tc>
        <w:tc>
          <w:tcPr>
            <w:tcW w:w="6804" w:type="dxa"/>
            <w:gridSpan w:val="4"/>
            <w:tcBorders>
              <w:top w:val="single" w:sz="4" w:space="0" w:color="auto"/>
              <w:left w:val="single" w:sz="4" w:space="0" w:color="auto"/>
              <w:bottom w:val="single" w:sz="4" w:space="0" w:color="auto"/>
              <w:right w:val="single" w:sz="4" w:space="0" w:color="auto"/>
            </w:tcBorders>
          </w:tcPr>
          <w:p w:rsidR="0049320C" w:rsidRPr="00D50E91" w:rsidRDefault="0049320C" w:rsidP="00BA45D4">
            <w:pPr>
              <w:autoSpaceDE w:val="0"/>
              <w:autoSpaceDN w:val="0"/>
              <w:adjustRightInd w:val="0"/>
              <w:ind w:left="56" w:right="56"/>
              <w:jc w:val="center"/>
              <w:rPr>
                <w:b/>
                <w:sz w:val="20"/>
                <w:szCs w:val="20"/>
              </w:rPr>
            </w:pPr>
            <w:r w:rsidRPr="00D50E91">
              <w:rPr>
                <w:b/>
                <w:sz w:val="20"/>
                <w:szCs w:val="20"/>
              </w:rPr>
              <w:t xml:space="preserve"> A tűzszakasz megengedett legnagyobb alapterülete (m</w:t>
            </w:r>
            <w:r w:rsidRPr="00D50E91">
              <w:rPr>
                <w:b/>
                <w:sz w:val="20"/>
                <w:szCs w:val="20"/>
                <w:vertAlign w:val="superscript"/>
              </w:rPr>
              <w:t>2</w:t>
            </w:r>
            <w:r w:rsidRPr="00D50E91">
              <w:rPr>
                <w:b/>
                <w:sz w:val="20"/>
                <w:szCs w:val="20"/>
              </w:rPr>
              <w:t>),</w:t>
            </w:r>
            <w:r w:rsidRPr="00D50E91">
              <w:rPr>
                <w:b/>
                <w:sz w:val="20"/>
                <w:szCs w:val="20"/>
              </w:rPr>
              <w:br/>
              <w:t>beépített tűzjelző és tűzoltó berendezés nélkül/tűzjelző berendezéssel/tűzoltó berendezéssel</w:t>
            </w:r>
            <w:r w:rsidRPr="00D50E91">
              <w:rPr>
                <w:b/>
                <w:sz w:val="20"/>
                <w:szCs w:val="20"/>
              </w:rPr>
              <w:br/>
            </w:r>
            <w:r w:rsidRPr="00D50E91">
              <w:rPr>
                <w:sz w:val="20"/>
                <w:szCs w:val="20"/>
              </w:rPr>
              <w:t>A tűzszakasz megengedett térfogata (m</w:t>
            </w:r>
            <w:r w:rsidRPr="00D50E91">
              <w:rPr>
                <w:sz w:val="20"/>
                <w:szCs w:val="20"/>
                <w:vertAlign w:val="superscript"/>
              </w:rPr>
              <w:t>3</w:t>
            </w:r>
            <w:r w:rsidRPr="00D50E91">
              <w:rPr>
                <w:sz w:val="20"/>
                <w:szCs w:val="20"/>
              </w:rPr>
              <w:t xml:space="preserve">) </w:t>
            </w:r>
            <w:r w:rsidRPr="00D50E91">
              <w:rPr>
                <w:sz w:val="20"/>
                <w:szCs w:val="18"/>
              </w:rPr>
              <w:t xml:space="preserve">a megengedett </w:t>
            </w:r>
            <w:r w:rsidRPr="00D50E91">
              <w:rPr>
                <w:sz w:val="20"/>
                <w:szCs w:val="20"/>
              </w:rPr>
              <w:t>alapterület 10</w:t>
            </w:r>
            <w:r w:rsidR="003528A8">
              <w:rPr>
                <w:sz w:val="20"/>
                <w:szCs w:val="20"/>
              </w:rPr>
              <w:t>-</w:t>
            </w:r>
            <w:r w:rsidRPr="00D50E91">
              <w:rPr>
                <w:sz w:val="20"/>
                <w:szCs w:val="20"/>
              </w:rPr>
              <w:t>szerese</w:t>
            </w:r>
          </w:p>
        </w:tc>
      </w:tr>
      <w:tr w:rsidR="0049320C" w:rsidRPr="00D50E91" w:rsidTr="00BA45D4">
        <w:tc>
          <w:tcPr>
            <w:tcW w:w="562" w:type="dxa"/>
            <w:tcBorders>
              <w:top w:val="single" w:sz="4" w:space="0" w:color="auto"/>
              <w:left w:val="single" w:sz="4" w:space="0" w:color="auto"/>
              <w:bottom w:val="single" w:sz="4" w:space="0" w:color="auto"/>
              <w:right w:val="single" w:sz="4" w:space="0" w:color="auto"/>
            </w:tcBorders>
          </w:tcPr>
          <w:p w:rsidR="0049320C" w:rsidRPr="00D50E91" w:rsidRDefault="0049320C" w:rsidP="00BA45D4">
            <w:pPr>
              <w:autoSpaceDE w:val="0"/>
              <w:autoSpaceDN w:val="0"/>
              <w:adjustRightInd w:val="0"/>
              <w:ind w:left="56" w:right="56"/>
              <w:jc w:val="center"/>
              <w:rPr>
                <w:sz w:val="20"/>
                <w:szCs w:val="20"/>
              </w:rPr>
            </w:pPr>
            <w:r w:rsidRPr="00D50E91">
              <w:rPr>
                <w:sz w:val="20"/>
                <w:szCs w:val="20"/>
              </w:rPr>
              <w:t xml:space="preserve"> 2</w:t>
            </w:r>
          </w:p>
        </w:tc>
        <w:tc>
          <w:tcPr>
            <w:tcW w:w="6236" w:type="dxa"/>
            <w:tcBorders>
              <w:top w:val="single" w:sz="4" w:space="0" w:color="auto"/>
              <w:left w:val="single" w:sz="4" w:space="0" w:color="auto"/>
              <w:bottom w:val="single" w:sz="4" w:space="0" w:color="auto"/>
              <w:right w:val="single" w:sz="4" w:space="0" w:color="auto"/>
            </w:tcBorders>
          </w:tcPr>
          <w:p w:rsidR="0049320C" w:rsidRPr="00D50E91" w:rsidRDefault="0049320C" w:rsidP="00BA45D4">
            <w:pPr>
              <w:autoSpaceDE w:val="0"/>
              <w:autoSpaceDN w:val="0"/>
              <w:adjustRightInd w:val="0"/>
              <w:rPr>
                <w:b/>
                <w:sz w:val="20"/>
                <w:szCs w:val="20"/>
              </w:rPr>
            </w:pPr>
            <w:r w:rsidRPr="00D50E91">
              <w:rPr>
                <w:b/>
                <w:sz w:val="20"/>
                <w:szCs w:val="20"/>
              </w:rPr>
              <w:t xml:space="preserve"> </w:t>
            </w:r>
          </w:p>
        </w:tc>
        <w:tc>
          <w:tcPr>
            <w:tcW w:w="6804" w:type="dxa"/>
            <w:gridSpan w:val="4"/>
            <w:tcBorders>
              <w:top w:val="single" w:sz="4" w:space="0" w:color="auto"/>
              <w:left w:val="single" w:sz="4" w:space="0" w:color="auto"/>
              <w:bottom w:val="single" w:sz="4" w:space="0" w:color="auto"/>
              <w:right w:val="single" w:sz="4" w:space="0" w:color="auto"/>
            </w:tcBorders>
          </w:tcPr>
          <w:p w:rsidR="0049320C" w:rsidRPr="00D50E91" w:rsidRDefault="0049320C" w:rsidP="00B771B5">
            <w:pPr>
              <w:autoSpaceDE w:val="0"/>
              <w:autoSpaceDN w:val="0"/>
              <w:adjustRightInd w:val="0"/>
              <w:ind w:left="56" w:right="56"/>
              <w:jc w:val="center"/>
              <w:rPr>
                <w:b/>
                <w:sz w:val="20"/>
                <w:szCs w:val="20"/>
              </w:rPr>
            </w:pPr>
            <w:r w:rsidRPr="00D50E91">
              <w:rPr>
                <w:b/>
                <w:sz w:val="20"/>
                <w:szCs w:val="20"/>
              </w:rPr>
              <w:t xml:space="preserve"> </w:t>
            </w:r>
            <w:r w:rsidR="00B771B5" w:rsidRPr="00D50E91">
              <w:rPr>
                <w:b/>
                <w:sz w:val="20"/>
                <w:szCs w:val="20"/>
              </w:rPr>
              <w:t>A</w:t>
            </w:r>
            <w:r w:rsidRPr="00D50E91">
              <w:rPr>
                <w:b/>
                <w:sz w:val="20"/>
                <w:szCs w:val="20"/>
              </w:rPr>
              <w:t xml:space="preserve"> kockázati egység kockázati osztálya</w:t>
            </w:r>
          </w:p>
        </w:tc>
      </w:tr>
      <w:tr w:rsidR="0049320C" w:rsidRPr="00D50E91" w:rsidTr="00BA45D4">
        <w:tc>
          <w:tcPr>
            <w:tcW w:w="562" w:type="dxa"/>
            <w:tcBorders>
              <w:top w:val="single" w:sz="4" w:space="0" w:color="auto"/>
              <w:left w:val="single" w:sz="4" w:space="0" w:color="auto"/>
              <w:bottom w:val="single" w:sz="4" w:space="0" w:color="auto"/>
              <w:right w:val="single" w:sz="4" w:space="0" w:color="auto"/>
            </w:tcBorders>
          </w:tcPr>
          <w:p w:rsidR="0049320C" w:rsidRPr="00D50E91" w:rsidRDefault="0049320C" w:rsidP="00BA45D4">
            <w:pPr>
              <w:autoSpaceDE w:val="0"/>
              <w:autoSpaceDN w:val="0"/>
              <w:adjustRightInd w:val="0"/>
              <w:ind w:left="56" w:right="56"/>
              <w:jc w:val="center"/>
              <w:rPr>
                <w:sz w:val="20"/>
                <w:szCs w:val="20"/>
              </w:rPr>
            </w:pPr>
            <w:r w:rsidRPr="00D50E91">
              <w:rPr>
                <w:sz w:val="20"/>
                <w:szCs w:val="20"/>
              </w:rPr>
              <w:t xml:space="preserve"> 3</w:t>
            </w:r>
          </w:p>
        </w:tc>
        <w:tc>
          <w:tcPr>
            <w:tcW w:w="6236" w:type="dxa"/>
            <w:tcBorders>
              <w:top w:val="single" w:sz="4" w:space="0" w:color="auto"/>
              <w:left w:val="single" w:sz="4" w:space="0" w:color="auto"/>
              <w:bottom w:val="single" w:sz="4" w:space="0" w:color="auto"/>
              <w:right w:val="single" w:sz="4" w:space="0" w:color="auto"/>
            </w:tcBorders>
          </w:tcPr>
          <w:p w:rsidR="0049320C" w:rsidRPr="00D50E91" w:rsidRDefault="0049320C" w:rsidP="00BA45D4">
            <w:pPr>
              <w:autoSpaceDE w:val="0"/>
              <w:autoSpaceDN w:val="0"/>
              <w:adjustRightInd w:val="0"/>
              <w:rPr>
                <w:sz w:val="20"/>
                <w:szCs w:val="20"/>
              </w:rPr>
            </w:pPr>
            <w:r w:rsidRPr="00D50E91">
              <w:rPr>
                <w:sz w:val="20"/>
                <w:szCs w:val="20"/>
              </w:rPr>
              <w:t xml:space="preserve"> </w:t>
            </w:r>
          </w:p>
        </w:tc>
        <w:tc>
          <w:tcPr>
            <w:tcW w:w="1700" w:type="dxa"/>
            <w:tcBorders>
              <w:top w:val="single" w:sz="4" w:space="0" w:color="auto"/>
              <w:left w:val="single" w:sz="4" w:space="0" w:color="auto"/>
              <w:bottom w:val="single" w:sz="4" w:space="0" w:color="auto"/>
              <w:right w:val="single" w:sz="4" w:space="0" w:color="auto"/>
            </w:tcBorders>
          </w:tcPr>
          <w:p w:rsidR="0049320C" w:rsidRPr="00D50E91" w:rsidRDefault="0049320C" w:rsidP="00BA45D4">
            <w:pPr>
              <w:autoSpaceDE w:val="0"/>
              <w:autoSpaceDN w:val="0"/>
              <w:adjustRightInd w:val="0"/>
              <w:ind w:left="56" w:right="56"/>
              <w:jc w:val="center"/>
              <w:rPr>
                <w:sz w:val="20"/>
                <w:szCs w:val="20"/>
              </w:rPr>
            </w:pPr>
            <w:r w:rsidRPr="00D50E91">
              <w:rPr>
                <w:sz w:val="20"/>
                <w:szCs w:val="20"/>
              </w:rPr>
              <w:t xml:space="preserve"> NAK</w:t>
            </w:r>
          </w:p>
        </w:tc>
        <w:tc>
          <w:tcPr>
            <w:tcW w:w="1700" w:type="dxa"/>
            <w:tcBorders>
              <w:top w:val="single" w:sz="4" w:space="0" w:color="auto"/>
              <w:left w:val="single" w:sz="4" w:space="0" w:color="auto"/>
              <w:bottom w:val="single" w:sz="4" w:space="0" w:color="auto"/>
              <w:right w:val="single" w:sz="4" w:space="0" w:color="auto"/>
            </w:tcBorders>
          </w:tcPr>
          <w:p w:rsidR="0049320C" w:rsidRPr="00D50E91" w:rsidRDefault="0049320C" w:rsidP="00BA45D4">
            <w:pPr>
              <w:autoSpaceDE w:val="0"/>
              <w:autoSpaceDN w:val="0"/>
              <w:adjustRightInd w:val="0"/>
              <w:ind w:left="56" w:right="56"/>
              <w:jc w:val="center"/>
              <w:rPr>
                <w:sz w:val="20"/>
                <w:szCs w:val="20"/>
              </w:rPr>
            </w:pPr>
            <w:r w:rsidRPr="00D50E91">
              <w:rPr>
                <w:sz w:val="20"/>
                <w:szCs w:val="20"/>
              </w:rPr>
              <w:t xml:space="preserve"> AK</w:t>
            </w:r>
          </w:p>
        </w:tc>
        <w:tc>
          <w:tcPr>
            <w:tcW w:w="1700" w:type="dxa"/>
            <w:tcBorders>
              <w:top w:val="single" w:sz="4" w:space="0" w:color="auto"/>
              <w:left w:val="single" w:sz="4" w:space="0" w:color="auto"/>
              <w:bottom w:val="single" w:sz="4" w:space="0" w:color="auto"/>
              <w:right w:val="single" w:sz="4" w:space="0" w:color="auto"/>
            </w:tcBorders>
          </w:tcPr>
          <w:p w:rsidR="0049320C" w:rsidRPr="00D50E91" w:rsidRDefault="0049320C" w:rsidP="00BA45D4">
            <w:pPr>
              <w:autoSpaceDE w:val="0"/>
              <w:autoSpaceDN w:val="0"/>
              <w:adjustRightInd w:val="0"/>
              <w:ind w:left="56" w:right="56"/>
              <w:jc w:val="center"/>
              <w:rPr>
                <w:sz w:val="20"/>
                <w:szCs w:val="20"/>
              </w:rPr>
            </w:pPr>
            <w:r w:rsidRPr="00D50E91">
              <w:rPr>
                <w:sz w:val="20"/>
                <w:szCs w:val="20"/>
              </w:rPr>
              <w:t xml:space="preserve"> KK</w:t>
            </w:r>
          </w:p>
        </w:tc>
        <w:tc>
          <w:tcPr>
            <w:tcW w:w="1704" w:type="dxa"/>
            <w:tcBorders>
              <w:top w:val="single" w:sz="4" w:space="0" w:color="auto"/>
              <w:left w:val="single" w:sz="4" w:space="0" w:color="auto"/>
              <w:bottom w:val="single" w:sz="4" w:space="0" w:color="auto"/>
              <w:right w:val="single" w:sz="4" w:space="0" w:color="auto"/>
            </w:tcBorders>
          </w:tcPr>
          <w:p w:rsidR="0049320C" w:rsidRPr="00D50E91" w:rsidRDefault="0049320C" w:rsidP="00BA45D4">
            <w:pPr>
              <w:autoSpaceDE w:val="0"/>
              <w:autoSpaceDN w:val="0"/>
              <w:adjustRightInd w:val="0"/>
              <w:ind w:left="56" w:right="56"/>
              <w:jc w:val="center"/>
              <w:rPr>
                <w:sz w:val="20"/>
                <w:szCs w:val="20"/>
              </w:rPr>
            </w:pPr>
            <w:r w:rsidRPr="00D50E91">
              <w:rPr>
                <w:sz w:val="20"/>
                <w:szCs w:val="20"/>
              </w:rPr>
              <w:t xml:space="preserve"> MK</w:t>
            </w:r>
          </w:p>
        </w:tc>
      </w:tr>
      <w:tr w:rsidR="0049320C" w:rsidRPr="00D50E91" w:rsidTr="00BA45D4">
        <w:tc>
          <w:tcPr>
            <w:tcW w:w="562" w:type="dxa"/>
            <w:tcBorders>
              <w:top w:val="single" w:sz="4" w:space="0" w:color="auto"/>
              <w:left w:val="single" w:sz="4" w:space="0" w:color="auto"/>
              <w:bottom w:val="single" w:sz="4" w:space="0" w:color="auto"/>
              <w:right w:val="single" w:sz="4" w:space="0" w:color="auto"/>
            </w:tcBorders>
          </w:tcPr>
          <w:p w:rsidR="0049320C" w:rsidRPr="00D50E91" w:rsidRDefault="0049320C" w:rsidP="00BA45D4">
            <w:pPr>
              <w:autoSpaceDE w:val="0"/>
              <w:autoSpaceDN w:val="0"/>
              <w:adjustRightInd w:val="0"/>
              <w:ind w:left="56" w:right="56"/>
              <w:jc w:val="center"/>
              <w:rPr>
                <w:sz w:val="20"/>
                <w:szCs w:val="20"/>
              </w:rPr>
            </w:pPr>
            <w:r w:rsidRPr="00D50E91">
              <w:rPr>
                <w:sz w:val="20"/>
                <w:szCs w:val="20"/>
              </w:rPr>
              <w:t xml:space="preserve"> 4</w:t>
            </w:r>
          </w:p>
        </w:tc>
        <w:tc>
          <w:tcPr>
            <w:tcW w:w="6236" w:type="dxa"/>
            <w:tcBorders>
              <w:top w:val="single" w:sz="4" w:space="0" w:color="auto"/>
              <w:left w:val="single" w:sz="4" w:space="0" w:color="auto"/>
              <w:bottom w:val="single" w:sz="4" w:space="0" w:color="auto"/>
              <w:right w:val="single" w:sz="4" w:space="0" w:color="auto"/>
            </w:tcBorders>
          </w:tcPr>
          <w:p w:rsidR="0049320C" w:rsidRPr="00D50E91" w:rsidRDefault="00BE6F3F" w:rsidP="00BA45D4">
            <w:pPr>
              <w:autoSpaceDE w:val="0"/>
              <w:autoSpaceDN w:val="0"/>
              <w:adjustRightInd w:val="0"/>
              <w:ind w:left="56" w:right="56"/>
              <w:jc w:val="center"/>
              <w:rPr>
                <w:sz w:val="20"/>
                <w:szCs w:val="20"/>
              </w:rPr>
            </w:pPr>
            <w:r w:rsidRPr="00D50E91">
              <w:rPr>
                <w:sz w:val="20"/>
                <w:szCs w:val="20"/>
              </w:rPr>
              <w:t xml:space="preserve"> F</w:t>
            </w:r>
            <w:r w:rsidR="0049320C" w:rsidRPr="00D50E91">
              <w:rPr>
                <w:sz w:val="20"/>
                <w:szCs w:val="20"/>
              </w:rPr>
              <w:t>öldszintes épület, önálló épületrész</w:t>
            </w:r>
          </w:p>
        </w:tc>
        <w:tc>
          <w:tcPr>
            <w:tcW w:w="1700" w:type="dxa"/>
            <w:tcBorders>
              <w:top w:val="single" w:sz="4" w:space="0" w:color="auto"/>
              <w:left w:val="single" w:sz="4" w:space="0" w:color="auto"/>
              <w:bottom w:val="single" w:sz="4" w:space="0" w:color="auto"/>
              <w:right w:val="single" w:sz="4" w:space="0" w:color="auto"/>
            </w:tcBorders>
          </w:tcPr>
          <w:p w:rsidR="0049320C" w:rsidRPr="00D50E91" w:rsidRDefault="0049320C" w:rsidP="00BA45D4">
            <w:pPr>
              <w:autoSpaceDE w:val="0"/>
              <w:autoSpaceDN w:val="0"/>
              <w:adjustRightInd w:val="0"/>
              <w:ind w:left="56" w:right="56"/>
              <w:jc w:val="center"/>
              <w:rPr>
                <w:sz w:val="20"/>
                <w:szCs w:val="20"/>
              </w:rPr>
            </w:pPr>
            <w:r w:rsidRPr="00D50E91">
              <w:rPr>
                <w:sz w:val="20"/>
                <w:szCs w:val="20"/>
              </w:rPr>
              <w:t xml:space="preserve"> 8 000/12 000/</w:t>
            </w:r>
            <w:r w:rsidRPr="00D50E91">
              <w:rPr>
                <w:sz w:val="20"/>
                <w:szCs w:val="20"/>
              </w:rPr>
              <w:br/>
              <w:t>24 000</w:t>
            </w:r>
          </w:p>
        </w:tc>
        <w:tc>
          <w:tcPr>
            <w:tcW w:w="1700" w:type="dxa"/>
            <w:tcBorders>
              <w:top w:val="single" w:sz="4" w:space="0" w:color="auto"/>
              <w:left w:val="single" w:sz="4" w:space="0" w:color="auto"/>
              <w:bottom w:val="single" w:sz="4" w:space="0" w:color="auto"/>
              <w:right w:val="single" w:sz="4" w:space="0" w:color="auto"/>
            </w:tcBorders>
          </w:tcPr>
          <w:p w:rsidR="0049320C" w:rsidRPr="00D50E91" w:rsidRDefault="0049320C" w:rsidP="00BA45D4">
            <w:pPr>
              <w:autoSpaceDE w:val="0"/>
              <w:autoSpaceDN w:val="0"/>
              <w:adjustRightInd w:val="0"/>
              <w:ind w:left="56" w:right="56"/>
              <w:jc w:val="center"/>
              <w:rPr>
                <w:sz w:val="20"/>
                <w:szCs w:val="20"/>
              </w:rPr>
            </w:pPr>
            <w:r w:rsidRPr="00D50E91">
              <w:rPr>
                <w:sz w:val="20"/>
                <w:szCs w:val="20"/>
              </w:rPr>
              <w:t xml:space="preserve"> 10 000/15 000/</w:t>
            </w:r>
            <w:r w:rsidRPr="00D50E91">
              <w:rPr>
                <w:sz w:val="20"/>
                <w:szCs w:val="20"/>
              </w:rPr>
              <w:br/>
              <w:t>30 000</w:t>
            </w:r>
          </w:p>
        </w:tc>
        <w:tc>
          <w:tcPr>
            <w:tcW w:w="1700" w:type="dxa"/>
            <w:tcBorders>
              <w:top w:val="single" w:sz="4" w:space="0" w:color="auto"/>
              <w:left w:val="single" w:sz="4" w:space="0" w:color="auto"/>
              <w:bottom w:val="single" w:sz="4" w:space="0" w:color="auto"/>
              <w:right w:val="single" w:sz="4" w:space="0" w:color="auto"/>
            </w:tcBorders>
          </w:tcPr>
          <w:p w:rsidR="0049320C" w:rsidRPr="00D50E91" w:rsidRDefault="0049320C" w:rsidP="00BA45D4">
            <w:pPr>
              <w:autoSpaceDE w:val="0"/>
              <w:autoSpaceDN w:val="0"/>
              <w:adjustRightInd w:val="0"/>
              <w:ind w:left="56" w:right="56"/>
              <w:jc w:val="center"/>
              <w:rPr>
                <w:sz w:val="20"/>
                <w:szCs w:val="20"/>
              </w:rPr>
            </w:pPr>
            <w:r w:rsidRPr="00D50E91">
              <w:rPr>
                <w:sz w:val="20"/>
                <w:szCs w:val="20"/>
              </w:rPr>
              <w:t xml:space="preserve"> 5 000/10 000/</w:t>
            </w:r>
            <w:r w:rsidRPr="00D50E91">
              <w:rPr>
                <w:sz w:val="20"/>
                <w:szCs w:val="20"/>
              </w:rPr>
              <w:br/>
              <w:t>20 000</w:t>
            </w:r>
          </w:p>
        </w:tc>
        <w:tc>
          <w:tcPr>
            <w:tcW w:w="1704" w:type="dxa"/>
            <w:tcBorders>
              <w:top w:val="single" w:sz="4" w:space="0" w:color="auto"/>
              <w:left w:val="single" w:sz="4" w:space="0" w:color="auto"/>
              <w:bottom w:val="single" w:sz="4" w:space="0" w:color="auto"/>
              <w:right w:val="single" w:sz="4" w:space="0" w:color="auto"/>
            </w:tcBorders>
          </w:tcPr>
          <w:p w:rsidR="0049320C" w:rsidRPr="00D50E91" w:rsidRDefault="0049320C" w:rsidP="00BA45D4">
            <w:pPr>
              <w:autoSpaceDE w:val="0"/>
              <w:autoSpaceDN w:val="0"/>
              <w:adjustRightInd w:val="0"/>
              <w:ind w:left="56" w:right="56"/>
              <w:jc w:val="center"/>
              <w:rPr>
                <w:sz w:val="20"/>
                <w:szCs w:val="20"/>
              </w:rPr>
            </w:pPr>
            <w:r w:rsidRPr="00D50E91">
              <w:rPr>
                <w:sz w:val="20"/>
                <w:szCs w:val="20"/>
              </w:rPr>
              <w:t xml:space="preserve"> 1 000/4 000/8 000</w:t>
            </w:r>
          </w:p>
        </w:tc>
      </w:tr>
      <w:tr w:rsidR="0049320C" w:rsidRPr="00D50E91" w:rsidTr="00BA45D4">
        <w:tc>
          <w:tcPr>
            <w:tcW w:w="562" w:type="dxa"/>
            <w:tcBorders>
              <w:top w:val="single" w:sz="4" w:space="0" w:color="auto"/>
              <w:left w:val="single" w:sz="4" w:space="0" w:color="auto"/>
              <w:bottom w:val="single" w:sz="4" w:space="0" w:color="auto"/>
              <w:right w:val="single" w:sz="4" w:space="0" w:color="auto"/>
            </w:tcBorders>
          </w:tcPr>
          <w:p w:rsidR="0049320C" w:rsidRPr="00D50E91" w:rsidRDefault="0049320C" w:rsidP="00BA45D4">
            <w:pPr>
              <w:autoSpaceDE w:val="0"/>
              <w:autoSpaceDN w:val="0"/>
              <w:adjustRightInd w:val="0"/>
              <w:ind w:left="56" w:right="56"/>
              <w:jc w:val="center"/>
              <w:rPr>
                <w:sz w:val="20"/>
                <w:szCs w:val="20"/>
              </w:rPr>
            </w:pPr>
            <w:r w:rsidRPr="00D50E91">
              <w:rPr>
                <w:sz w:val="20"/>
                <w:szCs w:val="20"/>
              </w:rPr>
              <w:t xml:space="preserve"> 5</w:t>
            </w:r>
          </w:p>
        </w:tc>
        <w:tc>
          <w:tcPr>
            <w:tcW w:w="6236" w:type="dxa"/>
            <w:tcBorders>
              <w:top w:val="single" w:sz="4" w:space="0" w:color="auto"/>
              <w:left w:val="single" w:sz="4" w:space="0" w:color="auto"/>
              <w:bottom w:val="single" w:sz="4" w:space="0" w:color="auto"/>
              <w:right w:val="single" w:sz="4" w:space="0" w:color="auto"/>
            </w:tcBorders>
          </w:tcPr>
          <w:p w:rsidR="0049320C" w:rsidRPr="00D50E91" w:rsidRDefault="00BE6F3F" w:rsidP="00BA45D4">
            <w:pPr>
              <w:autoSpaceDE w:val="0"/>
              <w:autoSpaceDN w:val="0"/>
              <w:adjustRightInd w:val="0"/>
              <w:ind w:left="56" w:right="56"/>
              <w:jc w:val="center"/>
              <w:rPr>
                <w:sz w:val="20"/>
                <w:szCs w:val="20"/>
              </w:rPr>
            </w:pPr>
            <w:r w:rsidRPr="00D50E91">
              <w:rPr>
                <w:sz w:val="20"/>
                <w:szCs w:val="20"/>
              </w:rPr>
              <w:t xml:space="preserve"> T</w:t>
            </w:r>
            <w:r w:rsidR="0049320C" w:rsidRPr="00D50E91">
              <w:rPr>
                <w:sz w:val="20"/>
                <w:szCs w:val="20"/>
              </w:rPr>
              <w:t>öbb szintből álló épület, önálló épületrész</w:t>
            </w:r>
          </w:p>
        </w:tc>
        <w:tc>
          <w:tcPr>
            <w:tcW w:w="1700" w:type="dxa"/>
            <w:tcBorders>
              <w:top w:val="single" w:sz="4" w:space="0" w:color="auto"/>
              <w:left w:val="single" w:sz="4" w:space="0" w:color="auto"/>
              <w:bottom w:val="single" w:sz="4" w:space="0" w:color="auto"/>
              <w:right w:val="single" w:sz="4" w:space="0" w:color="auto"/>
            </w:tcBorders>
          </w:tcPr>
          <w:p w:rsidR="0049320C" w:rsidRPr="00D50E91" w:rsidRDefault="0049320C" w:rsidP="00BA45D4">
            <w:pPr>
              <w:autoSpaceDE w:val="0"/>
              <w:autoSpaceDN w:val="0"/>
              <w:adjustRightInd w:val="0"/>
              <w:ind w:left="56" w:right="56"/>
              <w:jc w:val="center"/>
              <w:rPr>
                <w:sz w:val="20"/>
                <w:szCs w:val="20"/>
              </w:rPr>
            </w:pPr>
            <w:r w:rsidRPr="00D50E91">
              <w:rPr>
                <w:sz w:val="20"/>
                <w:szCs w:val="20"/>
              </w:rPr>
              <w:t xml:space="preserve"> 4 000/8 000/</w:t>
            </w:r>
            <w:r w:rsidRPr="00D50E91">
              <w:rPr>
                <w:sz w:val="20"/>
                <w:szCs w:val="20"/>
              </w:rPr>
              <w:br/>
              <w:t>16 000</w:t>
            </w:r>
          </w:p>
        </w:tc>
        <w:tc>
          <w:tcPr>
            <w:tcW w:w="1700" w:type="dxa"/>
            <w:tcBorders>
              <w:top w:val="single" w:sz="4" w:space="0" w:color="auto"/>
              <w:left w:val="single" w:sz="4" w:space="0" w:color="auto"/>
              <w:bottom w:val="single" w:sz="4" w:space="0" w:color="auto"/>
              <w:right w:val="single" w:sz="4" w:space="0" w:color="auto"/>
            </w:tcBorders>
          </w:tcPr>
          <w:p w:rsidR="0049320C" w:rsidRPr="00D50E91" w:rsidRDefault="0049320C" w:rsidP="00BA45D4">
            <w:pPr>
              <w:autoSpaceDE w:val="0"/>
              <w:autoSpaceDN w:val="0"/>
              <w:adjustRightInd w:val="0"/>
              <w:ind w:left="56" w:right="56"/>
              <w:jc w:val="center"/>
              <w:rPr>
                <w:sz w:val="20"/>
                <w:szCs w:val="20"/>
              </w:rPr>
            </w:pPr>
            <w:r w:rsidRPr="00D50E91">
              <w:rPr>
                <w:sz w:val="20"/>
                <w:szCs w:val="20"/>
              </w:rPr>
              <w:t xml:space="preserve"> 7 000/10 000/</w:t>
            </w:r>
            <w:r w:rsidRPr="00D50E91">
              <w:rPr>
                <w:sz w:val="20"/>
                <w:szCs w:val="20"/>
              </w:rPr>
              <w:br/>
              <w:t>20 000</w:t>
            </w:r>
          </w:p>
        </w:tc>
        <w:tc>
          <w:tcPr>
            <w:tcW w:w="1700" w:type="dxa"/>
            <w:tcBorders>
              <w:top w:val="single" w:sz="4" w:space="0" w:color="auto"/>
              <w:left w:val="single" w:sz="4" w:space="0" w:color="auto"/>
              <w:bottom w:val="single" w:sz="4" w:space="0" w:color="auto"/>
              <w:right w:val="single" w:sz="4" w:space="0" w:color="auto"/>
            </w:tcBorders>
          </w:tcPr>
          <w:p w:rsidR="0049320C" w:rsidRPr="00D50E91" w:rsidRDefault="0049320C" w:rsidP="00BA45D4">
            <w:pPr>
              <w:autoSpaceDE w:val="0"/>
              <w:autoSpaceDN w:val="0"/>
              <w:adjustRightInd w:val="0"/>
              <w:ind w:left="56" w:right="56"/>
              <w:jc w:val="center"/>
              <w:rPr>
                <w:sz w:val="20"/>
                <w:szCs w:val="20"/>
              </w:rPr>
            </w:pPr>
            <w:r w:rsidRPr="00D50E91">
              <w:rPr>
                <w:sz w:val="20"/>
                <w:szCs w:val="20"/>
              </w:rPr>
              <w:t xml:space="preserve"> 4 000/8 000/</w:t>
            </w:r>
            <w:r w:rsidRPr="00D50E91">
              <w:rPr>
                <w:sz w:val="20"/>
                <w:szCs w:val="20"/>
              </w:rPr>
              <w:br/>
              <w:t>16 000</w:t>
            </w:r>
          </w:p>
        </w:tc>
        <w:tc>
          <w:tcPr>
            <w:tcW w:w="1704" w:type="dxa"/>
            <w:tcBorders>
              <w:top w:val="single" w:sz="4" w:space="0" w:color="auto"/>
              <w:left w:val="single" w:sz="4" w:space="0" w:color="auto"/>
              <w:bottom w:val="single" w:sz="4" w:space="0" w:color="auto"/>
              <w:right w:val="single" w:sz="4" w:space="0" w:color="auto"/>
            </w:tcBorders>
          </w:tcPr>
          <w:p w:rsidR="0049320C" w:rsidRPr="00D50E91" w:rsidRDefault="0049320C" w:rsidP="00BA45D4">
            <w:pPr>
              <w:autoSpaceDE w:val="0"/>
              <w:autoSpaceDN w:val="0"/>
              <w:adjustRightInd w:val="0"/>
              <w:ind w:left="56" w:right="56"/>
              <w:jc w:val="center"/>
              <w:rPr>
                <w:sz w:val="20"/>
                <w:szCs w:val="20"/>
              </w:rPr>
            </w:pPr>
            <w:r w:rsidRPr="00D50E91">
              <w:rPr>
                <w:sz w:val="20"/>
                <w:szCs w:val="20"/>
              </w:rPr>
              <w:t xml:space="preserve"> 1 000/3 000/6 000</w:t>
            </w:r>
          </w:p>
        </w:tc>
      </w:tr>
      <w:tr w:rsidR="0049320C" w:rsidRPr="00D50E91" w:rsidTr="00BA45D4">
        <w:tc>
          <w:tcPr>
            <w:tcW w:w="562" w:type="dxa"/>
            <w:tcBorders>
              <w:top w:val="single" w:sz="4" w:space="0" w:color="auto"/>
              <w:left w:val="single" w:sz="4" w:space="0" w:color="auto"/>
              <w:bottom w:val="single" w:sz="4" w:space="0" w:color="auto"/>
              <w:right w:val="single" w:sz="4" w:space="0" w:color="auto"/>
            </w:tcBorders>
          </w:tcPr>
          <w:p w:rsidR="0049320C" w:rsidRPr="00D50E91" w:rsidRDefault="0049320C" w:rsidP="00BA45D4">
            <w:pPr>
              <w:autoSpaceDE w:val="0"/>
              <w:autoSpaceDN w:val="0"/>
              <w:adjustRightInd w:val="0"/>
              <w:ind w:left="56" w:right="56"/>
              <w:jc w:val="center"/>
              <w:rPr>
                <w:sz w:val="20"/>
                <w:szCs w:val="20"/>
              </w:rPr>
            </w:pPr>
            <w:r w:rsidRPr="00D50E91">
              <w:rPr>
                <w:sz w:val="20"/>
                <w:szCs w:val="20"/>
              </w:rPr>
              <w:t xml:space="preserve"> 6</w:t>
            </w:r>
          </w:p>
        </w:tc>
        <w:tc>
          <w:tcPr>
            <w:tcW w:w="6236" w:type="dxa"/>
            <w:tcBorders>
              <w:top w:val="single" w:sz="4" w:space="0" w:color="auto"/>
              <w:left w:val="single" w:sz="4" w:space="0" w:color="auto"/>
              <w:bottom w:val="single" w:sz="4" w:space="0" w:color="auto"/>
              <w:right w:val="single" w:sz="4" w:space="0" w:color="auto"/>
            </w:tcBorders>
          </w:tcPr>
          <w:p w:rsidR="0049320C" w:rsidRPr="00D50E91" w:rsidRDefault="00BE6F3F" w:rsidP="00BA45D4">
            <w:pPr>
              <w:autoSpaceDE w:val="0"/>
              <w:autoSpaceDN w:val="0"/>
              <w:adjustRightInd w:val="0"/>
              <w:ind w:left="56" w:right="56"/>
              <w:jc w:val="center"/>
              <w:rPr>
                <w:sz w:val="20"/>
                <w:szCs w:val="20"/>
              </w:rPr>
            </w:pPr>
            <w:r w:rsidRPr="00D50E91">
              <w:rPr>
                <w:sz w:val="20"/>
                <w:szCs w:val="20"/>
              </w:rPr>
              <w:t xml:space="preserve"> R</w:t>
            </w:r>
            <w:r w:rsidR="0049320C" w:rsidRPr="00D50E91">
              <w:rPr>
                <w:sz w:val="20"/>
                <w:szCs w:val="20"/>
              </w:rPr>
              <w:t>észben vagy teljesen pinceszinti tűzszakasz</w:t>
            </w:r>
          </w:p>
        </w:tc>
        <w:tc>
          <w:tcPr>
            <w:tcW w:w="1700" w:type="dxa"/>
            <w:tcBorders>
              <w:top w:val="single" w:sz="4" w:space="0" w:color="auto"/>
              <w:left w:val="single" w:sz="4" w:space="0" w:color="auto"/>
              <w:bottom w:val="single" w:sz="4" w:space="0" w:color="auto"/>
              <w:right w:val="single" w:sz="4" w:space="0" w:color="auto"/>
            </w:tcBorders>
          </w:tcPr>
          <w:p w:rsidR="0049320C" w:rsidRPr="00D50E91" w:rsidRDefault="0049320C" w:rsidP="00BA45D4">
            <w:pPr>
              <w:autoSpaceDE w:val="0"/>
              <w:autoSpaceDN w:val="0"/>
              <w:adjustRightInd w:val="0"/>
              <w:ind w:left="56" w:right="56"/>
              <w:jc w:val="center"/>
              <w:rPr>
                <w:sz w:val="20"/>
                <w:szCs w:val="20"/>
              </w:rPr>
            </w:pPr>
            <w:r w:rsidRPr="00D50E91">
              <w:rPr>
                <w:sz w:val="20"/>
                <w:szCs w:val="20"/>
              </w:rPr>
              <w:t xml:space="preserve"> 2 000/4 000/8 000</w:t>
            </w:r>
          </w:p>
        </w:tc>
        <w:tc>
          <w:tcPr>
            <w:tcW w:w="1700" w:type="dxa"/>
            <w:tcBorders>
              <w:top w:val="single" w:sz="4" w:space="0" w:color="auto"/>
              <w:left w:val="single" w:sz="4" w:space="0" w:color="auto"/>
              <w:bottom w:val="single" w:sz="4" w:space="0" w:color="auto"/>
              <w:right w:val="single" w:sz="4" w:space="0" w:color="auto"/>
            </w:tcBorders>
          </w:tcPr>
          <w:p w:rsidR="0049320C" w:rsidRPr="00D50E91" w:rsidRDefault="0049320C" w:rsidP="00BA45D4">
            <w:pPr>
              <w:autoSpaceDE w:val="0"/>
              <w:autoSpaceDN w:val="0"/>
              <w:adjustRightInd w:val="0"/>
              <w:ind w:left="56" w:right="56"/>
              <w:jc w:val="center"/>
              <w:rPr>
                <w:sz w:val="20"/>
                <w:szCs w:val="20"/>
              </w:rPr>
            </w:pPr>
            <w:r w:rsidRPr="00D50E91">
              <w:rPr>
                <w:sz w:val="20"/>
                <w:szCs w:val="20"/>
              </w:rPr>
              <w:t xml:space="preserve"> 3 500/5 000/</w:t>
            </w:r>
            <w:r w:rsidRPr="00D50E91">
              <w:rPr>
                <w:sz w:val="20"/>
                <w:szCs w:val="20"/>
              </w:rPr>
              <w:br/>
              <w:t>10 000</w:t>
            </w:r>
          </w:p>
        </w:tc>
        <w:tc>
          <w:tcPr>
            <w:tcW w:w="1700" w:type="dxa"/>
            <w:tcBorders>
              <w:top w:val="single" w:sz="4" w:space="0" w:color="auto"/>
              <w:left w:val="single" w:sz="4" w:space="0" w:color="auto"/>
              <w:bottom w:val="single" w:sz="4" w:space="0" w:color="auto"/>
              <w:right w:val="single" w:sz="4" w:space="0" w:color="auto"/>
            </w:tcBorders>
          </w:tcPr>
          <w:p w:rsidR="0049320C" w:rsidRPr="00D50E91" w:rsidRDefault="0049320C" w:rsidP="00BA45D4">
            <w:pPr>
              <w:autoSpaceDE w:val="0"/>
              <w:autoSpaceDN w:val="0"/>
              <w:adjustRightInd w:val="0"/>
              <w:ind w:left="56" w:right="56"/>
              <w:jc w:val="center"/>
              <w:rPr>
                <w:sz w:val="20"/>
                <w:szCs w:val="20"/>
              </w:rPr>
            </w:pPr>
            <w:r w:rsidRPr="00D50E91">
              <w:rPr>
                <w:sz w:val="20"/>
                <w:szCs w:val="20"/>
              </w:rPr>
              <w:t xml:space="preserve"> 2 000/4 000/8 000</w:t>
            </w:r>
          </w:p>
        </w:tc>
        <w:tc>
          <w:tcPr>
            <w:tcW w:w="1704" w:type="dxa"/>
            <w:tcBorders>
              <w:top w:val="single" w:sz="4" w:space="0" w:color="auto"/>
              <w:left w:val="single" w:sz="4" w:space="0" w:color="auto"/>
              <w:bottom w:val="single" w:sz="4" w:space="0" w:color="auto"/>
              <w:right w:val="single" w:sz="4" w:space="0" w:color="auto"/>
            </w:tcBorders>
          </w:tcPr>
          <w:p w:rsidR="0049320C" w:rsidRPr="00D50E91" w:rsidRDefault="0049320C" w:rsidP="00BA45D4">
            <w:pPr>
              <w:autoSpaceDE w:val="0"/>
              <w:autoSpaceDN w:val="0"/>
              <w:adjustRightInd w:val="0"/>
              <w:ind w:left="56" w:right="56"/>
              <w:jc w:val="center"/>
              <w:rPr>
                <w:sz w:val="20"/>
                <w:szCs w:val="20"/>
              </w:rPr>
            </w:pPr>
            <w:r w:rsidRPr="00D50E91">
              <w:rPr>
                <w:sz w:val="20"/>
                <w:szCs w:val="20"/>
              </w:rPr>
              <w:t xml:space="preserve"> 500/1 500/3 000</w:t>
            </w:r>
          </w:p>
        </w:tc>
      </w:tr>
      <w:tr w:rsidR="0049320C" w:rsidRPr="00D50E91" w:rsidTr="00BA45D4">
        <w:tc>
          <w:tcPr>
            <w:tcW w:w="562" w:type="dxa"/>
            <w:tcBorders>
              <w:top w:val="single" w:sz="4" w:space="0" w:color="auto"/>
              <w:left w:val="single" w:sz="4" w:space="0" w:color="auto"/>
              <w:bottom w:val="single" w:sz="4" w:space="0" w:color="auto"/>
              <w:right w:val="single" w:sz="4" w:space="0" w:color="auto"/>
            </w:tcBorders>
          </w:tcPr>
          <w:p w:rsidR="0049320C" w:rsidRPr="00D50E91" w:rsidRDefault="0049320C" w:rsidP="00BA45D4">
            <w:pPr>
              <w:autoSpaceDE w:val="0"/>
              <w:autoSpaceDN w:val="0"/>
              <w:adjustRightInd w:val="0"/>
              <w:ind w:left="56" w:right="56"/>
              <w:jc w:val="center"/>
              <w:rPr>
                <w:sz w:val="20"/>
                <w:szCs w:val="20"/>
              </w:rPr>
            </w:pPr>
            <w:r w:rsidRPr="00D50E91">
              <w:rPr>
                <w:sz w:val="20"/>
                <w:szCs w:val="20"/>
              </w:rPr>
              <w:t xml:space="preserve"> 7</w:t>
            </w:r>
          </w:p>
        </w:tc>
        <w:tc>
          <w:tcPr>
            <w:tcW w:w="6236" w:type="dxa"/>
            <w:tcBorders>
              <w:top w:val="single" w:sz="4" w:space="0" w:color="auto"/>
              <w:left w:val="single" w:sz="4" w:space="0" w:color="auto"/>
              <w:bottom w:val="single" w:sz="4" w:space="0" w:color="auto"/>
              <w:right w:val="single" w:sz="4" w:space="0" w:color="auto"/>
            </w:tcBorders>
          </w:tcPr>
          <w:p w:rsidR="0049320C" w:rsidRPr="00D50E91" w:rsidRDefault="00BE6F3F" w:rsidP="00BA45D4">
            <w:pPr>
              <w:autoSpaceDE w:val="0"/>
              <w:autoSpaceDN w:val="0"/>
              <w:adjustRightInd w:val="0"/>
              <w:ind w:left="56" w:right="56"/>
              <w:jc w:val="center"/>
              <w:rPr>
                <w:sz w:val="20"/>
                <w:szCs w:val="20"/>
              </w:rPr>
            </w:pPr>
            <w:r w:rsidRPr="00D50E91">
              <w:rPr>
                <w:sz w:val="20"/>
                <w:szCs w:val="20"/>
              </w:rPr>
              <w:t xml:space="preserve"> K</w:t>
            </w:r>
            <w:r w:rsidR="0049320C" w:rsidRPr="00D50E91">
              <w:rPr>
                <w:sz w:val="20"/>
                <w:szCs w:val="20"/>
              </w:rPr>
              <w:t>izárólag növénytermesztésre szolgáló földszintes építmény</w:t>
            </w:r>
          </w:p>
        </w:tc>
        <w:tc>
          <w:tcPr>
            <w:tcW w:w="6804" w:type="dxa"/>
            <w:gridSpan w:val="4"/>
            <w:tcBorders>
              <w:top w:val="single" w:sz="4" w:space="0" w:color="auto"/>
              <w:left w:val="single" w:sz="4" w:space="0" w:color="auto"/>
              <w:bottom w:val="single" w:sz="4" w:space="0" w:color="auto"/>
              <w:right w:val="single" w:sz="4" w:space="0" w:color="auto"/>
            </w:tcBorders>
          </w:tcPr>
          <w:p w:rsidR="0049320C" w:rsidRPr="00D50E91" w:rsidRDefault="0049320C" w:rsidP="00BA45D4">
            <w:pPr>
              <w:autoSpaceDE w:val="0"/>
              <w:autoSpaceDN w:val="0"/>
              <w:adjustRightInd w:val="0"/>
              <w:ind w:left="56" w:right="56"/>
              <w:jc w:val="center"/>
              <w:rPr>
                <w:sz w:val="20"/>
                <w:szCs w:val="20"/>
              </w:rPr>
            </w:pPr>
            <w:r w:rsidRPr="00D50E91">
              <w:rPr>
                <w:sz w:val="20"/>
                <w:szCs w:val="20"/>
              </w:rPr>
              <w:t>korlátlan</w:t>
            </w:r>
          </w:p>
        </w:tc>
      </w:tr>
    </w:tbl>
    <w:p w:rsidR="0049320C" w:rsidRPr="00D50E91" w:rsidRDefault="0049320C" w:rsidP="00595B18">
      <w:pPr>
        <w:jc w:val="both"/>
      </w:pPr>
    </w:p>
    <w:p w:rsidR="0049320C" w:rsidRPr="00D50E91" w:rsidRDefault="0049320C" w:rsidP="00595B18">
      <w:pPr>
        <w:jc w:val="both"/>
      </w:pPr>
    </w:p>
    <w:p w:rsidR="005B415B" w:rsidRPr="00D50E91" w:rsidRDefault="005B415B">
      <w:pPr>
        <w:spacing w:after="200" w:line="276" w:lineRule="auto"/>
      </w:pPr>
      <w:r w:rsidRPr="00D50E91">
        <w:br w:type="page"/>
      </w:r>
    </w:p>
    <w:p w:rsidR="005B415B" w:rsidRPr="00D50E91" w:rsidRDefault="005B415B" w:rsidP="00CE0726">
      <w:pPr>
        <w:autoSpaceDE w:val="0"/>
        <w:autoSpaceDN w:val="0"/>
        <w:adjustRightInd w:val="0"/>
        <w:jc w:val="right"/>
        <w:rPr>
          <w:i/>
        </w:rPr>
      </w:pPr>
      <w:r w:rsidRPr="00D50E91">
        <w:rPr>
          <w:i/>
        </w:rPr>
        <w:lastRenderedPageBreak/>
        <w:t>5. melléklet a …./2018. (……) BM rendelethez</w:t>
      </w:r>
    </w:p>
    <w:p w:rsidR="005B415B" w:rsidRPr="00D50E91" w:rsidRDefault="005B415B" w:rsidP="00CE0726">
      <w:pPr>
        <w:jc w:val="both"/>
      </w:pPr>
    </w:p>
    <w:p w:rsidR="005B415B" w:rsidRPr="00D50E91" w:rsidRDefault="005B415B" w:rsidP="00CE0726">
      <w:pPr>
        <w:pStyle w:val="Szvegtrzs"/>
        <w:rPr>
          <w:i/>
        </w:rPr>
      </w:pPr>
      <w:r w:rsidRPr="00D50E91">
        <w:rPr>
          <w:i/>
        </w:rPr>
        <w:t>7. melléklet az 54/2014. (XII. 5.) BM rendelethez</w:t>
      </w:r>
    </w:p>
    <w:p w:rsidR="005B415B" w:rsidRPr="00D50E91" w:rsidRDefault="005B415B" w:rsidP="00CE0726">
      <w:pPr>
        <w:jc w:val="both"/>
      </w:pPr>
    </w:p>
    <w:p w:rsidR="005B415B" w:rsidRPr="00D50E91" w:rsidRDefault="005B415B" w:rsidP="00CE0726">
      <w:pPr>
        <w:jc w:val="both"/>
        <w:rPr>
          <w:b/>
          <w:sz w:val="20"/>
          <w:szCs w:val="20"/>
        </w:rPr>
      </w:pPr>
      <w:r w:rsidRPr="00D50E91">
        <w:rPr>
          <w:b/>
          <w:sz w:val="20"/>
          <w:szCs w:val="20"/>
        </w:rPr>
        <w:t>1. táblázat, A kiürítés általános követelményei alcímhez</w:t>
      </w:r>
    </w:p>
    <w:p w:rsidR="005B415B" w:rsidRPr="00D50E91" w:rsidRDefault="005B415B" w:rsidP="00595B18">
      <w:pPr>
        <w:jc w:val="both"/>
      </w:pPr>
    </w:p>
    <w:tbl>
      <w:tblPr>
        <w:tblW w:w="10913" w:type="dxa"/>
        <w:tblInd w:w="5" w:type="dxa"/>
        <w:tblLayout w:type="fixed"/>
        <w:tblCellMar>
          <w:left w:w="0" w:type="dxa"/>
          <w:right w:w="0" w:type="dxa"/>
        </w:tblCellMar>
        <w:tblLook w:val="0000" w:firstRow="0" w:lastRow="0" w:firstColumn="0" w:lastColumn="0" w:noHBand="0" w:noVBand="0"/>
      </w:tblPr>
      <w:tblGrid>
        <w:gridCol w:w="557"/>
        <w:gridCol w:w="1419"/>
        <w:gridCol w:w="3836"/>
        <w:gridCol w:w="1000"/>
        <w:gridCol w:w="692"/>
        <w:gridCol w:w="1139"/>
        <w:gridCol w:w="1127"/>
        <w:gridCol w:w="6"/>
        <w:gridCol w:w="1137"/>
      </w:tblGrid>
      <w:tr w:rsidR="00E651AC" w:rsidRPr="00D50E91" w:rsidTr="00BA45D4">
        <w:tc>
          <w:tcPr>
            <w:tcW w:w="557"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rPr>
                <w:sz w:val="18"/>
                <w:szCs w:val="20"/>
              </w:rPr>
            </w:pPr>
          </w:p>
        </w:tc>
        <w:tc>
          <w:tcPr>
            <w:tcW w:w="5255" w:type="dxa"/>
            <w:gridSpan w:val="2"/>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left="56" w:right="56"/>
              <w:jc w:val="center"/>
              <w:rPr>
                <w:sz w:val="18"/>
                <w:szCs w:val="20"/>
              </w:rPr>
            </w:pPr>
            <w:r w:rsidRPr="00D50E91">
              <w:rPr>
                <w:sz w:val="18"/>
                <w:szCs w:val="20"/>
              </w:rPr>
              <w:t xml:space="preserve"> A</w:t>
            </w:r>
          </w:p>
        </w:tc>
        <w:tc>
          <w:tcPr>
            <w:tcW w:w="1000"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right="56"/>
              <w:jc w:val="center"/>
              <w:rPr>
                <w:sz w:val="18"/>
                <w:szCs w:val="20"/>
              </w:rPr>
            </w:pPr>
            <w:r w:rsidRPr="00D50E91">
              <w:rPr>
                <w:sz w:val="18"/>
                <w:szCs w:val="20"/>
              </w:rPr>
              <w:t>B</w:t>
            </w:r>
          </w:p>
        </w:tc>
        <w:tc>
          <w:tcPr>
            <w:tcW w:w="692"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left="56" w:right="56"/>
              <w:jc w:val="center"/>
              <w:rPr>
                <w:sz w:val="18"/>
                <w:szCs w:val="20"/>
              </w:rPr>
            </w:pPr>
            <w:r w:rsidRPr="00D50E91">
              <w:rPr>
                <w:sz w:val="18"/>
                <w:szCs w:val="20"/>
              </w:rPr>
              <w:t xml:space="preserve"> C</w:t>
            </w:r>
          </w:p>
        </w:tc>
        <w:tc>
          <w:tcPr>
            <w:tcW w:w="1139"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left="56" w:right="56"/>
              <w:jc w:val="center"/>
              <w:rPr>
                <w:sz w:val="18"/>
                <w:szCs w:val="20"/>
              </w:rPr>
            </w:pPr>
            <w:r w:rsidRPr="00D50E91">
              <w:rPr>
                <w:sz w:val="18"/>
                <w:szCs w:val="20"/>
              </w:rPr>
              <w:t xml:space="preserve"> D</w:t>
            </w:r>
          </w:p>
        </w:tc>
        <w:tc>
          <w:tcPr>
            <w:tcW w:w="1133" w:type="dxa"/>
            <w:gridSpan w:val="2"/>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left="56" w:right="56"/>
              <w:jc w:val="center"/>
              <w:rPr>
                <w:sz w:val="18"/>
                <w:szCs w:val="20"/>
              </w:rPr>
            </w:pPr>
            <w:r w:rsidRPr="00D50E91">
              <w:rPr>
                <w:sz w:val="18"/>
                <w:szCs w:val="20"/>
              </w:rPr>
              <w:t>E</w:t>
            </w:r>
          </w:p>
        </w:tc>
        <w:tc>
          <w:tcPr>
            <w:tcW w:w="1137"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left="56" w:right="56"/>
              <w:jc w:val="center"/>
              <w:rPr>
                <w:sz w:val="18"/>
                <w:szCs w:val="20"/>
              </w:rPr>
            </w:pPr>
            <w:r w:rsidRPr="00D50E91">
              <w:rPr>
                <w:sz w:val="18"/>
                <w:szCs w:val="20"/>
              </w:rPr>
              <w:t>F</w:t>
            </w:r>
          </w:p>
        </w:tc>
      </w:tr>
      <w:tr w:rsidR="00E651AC" w:rsidRPr="00D50E91" w:rsidTr="00BA45D4">
        <w:tc>
          <w:tcPr>
            <w:tcW w:w="557"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left="56" w:right="56"/>
              <w:jc w:val="center"/>
              <w:rPr>
                <w:sz w:val="18"/>
                <w:szCs w:val="20"/>
              </w:rPr>
            </w:pPr>
            <w:r w:rsidRPr="00D50E91">
              <w:rPr>
                <w:b/>
                <w:sz w:val="18"/>
                <w:szCs w:val="20"/>
              </w:rPr>
              <w:t xml:space="preserve"> </w:t>
            </w:r>
            <w:r w:rsidRPr="00D50E91">
              <w:rPr>
                <w:sz w:val="18"/>
                <w:szCs w:val="20"/>
              </w:rPr>
              <w:t>1</w:t>
            </w:r>
          </w:p>
        </w:tc>
        <w:tc>
          <w:tcPr>
            <w:tcW w:w="5255" w:type="dxa"/>
            <w:gridSpan w:val="2"/>
            <w:tcBorders>
              <w:top w:val="single" w:sz="4" w:space="0" w:color="auto"/>
              <w:left w:val="single" w:sz="4" w:space="0" w:color="auto"/>
              <w:bottom w:val="nil"/>
              <w:right w:val="single" w:sz="4" w:space="0" w:color="auto"/>
            </w:tcBorders>
          </w:tcPr>
          <w:p w:rsidR="00E651AC" w:rsidRPr="00D50E91" w:rsidRDefault="00E651AC" w:rsidP="00BA45D4">
            <w:pPr>
              <w:autoSpaceDE w:val="0"/>
              <w:autoSpaceDN w:val="0"/>
              <w:adjustRightInd w:val="0"/>
              <w:rPr>
                <w:b/>
                <w:sz w:val="18"/>
                <w:szCs w:val="20"/>
              </w:rPr>
            </w:pPr>
            <w:r w:rsidRPr="00D50E91">
              <w:rPr>
                <w:b/>
                <w:sz w:val="18"/>
                <w:szCs w:val="20"/>
              </w:rPr>
              <w:t xml:space="preserve"> </w:t>
            </w:r>
          </w:p>
        </w:tc>
        <w:tc>
          <w:tcPr>
            <w:tcW w:w="1000" w:type="dxa"/>
            <w:tcBorders>
              <w:top w:val="single" w:sz="4" w:space="0" w:color="auto"/>
              <w:left w:val="single" w:sz="4" w:space="0" w:color="auto"/>
              <w:bottom w:val="nil"/>
              <w:right w:val="single" w:sz="4" w:space="0" w:color="auto"/>
            </w:tcBorders>
          </w:tcPr>
          <w:p w:rsidR="00E651AC" w:rsidRPr="00D50E91" w:rsidRDefault="00BE6F3F" w:rsidP="00BE6F3F">
            <w:pPr>
              <w:autoSpaceDE w:val="0"/>
              <w:autoSpaceDN w:val="0"/>
              <w:adjustRightInd w:val="0"/>
              <w:jc w:val="center"/>
              <w:rPr>
                <w:b/>
                <w:sz w:val="18"/>
                <w:szCs w:val="20"/>
              </w:rPr>
            </w:pPr>
            <w:r w:rsidRPr="00D50E91">
              <w:rPr>
                <w:b/>
                <w:sz w:val="18"/>
                <w:szCs w:val="20"/>
              </w:rPr>
              <w:t>F</w:t>
            </w:r>
            <w:r w:rsidR="00E651AC" w:rsidRPr="00D50E91">
              <w:rPr>
                <w:b/>
                <w:sz w:val="18"/>
                <w:szCs w:val="20"/>
              </w:rPr>
              <w:t>üstszegény levegőréteg magassága</w:t>
            </w:r>
          </w:p>
        </w:tc>
        <w:tc>
          <w:tcPr>
            <w:tcW w:w="4101" w:type="dxa"/>
            <w:gridSpan w:val="5"/>
            <w:tcBorders>
              <w:top w:val="single" w:sz="4" w:space="0" w:color="auto"/>
              <w:left w:val="single" w:sz="4" w:space="0" w:color="auto"/>
              <w:bottom w:val="single" w:sz="4" w:space="0" w:color="auto"/>
              <w:right w:val="single" w:sz="4" w:space="0" w:color="auto"/>
            </w:tcBorders>
          </w:tcPr>
          <w:p w:rsidR="00E651AC" w:rsidRPr="00D50E91" w:rsidRDefault="00BE6F3F" w:rsidP="00BA45D4">
            <w:pPr>
              <w:autoSpaceDE w:val="0"/>
              <w:autoSpaceDN w:val="0"/>
              <w:adjustRightInd w:val="0"/>
              <w:ind w:left="56" w:right="56"/>
              <w:jc w:val="center"/>
              <w:rPr>
                <w:b/>
                <w:sz w:val="18"/>
                <w:szCs w:val="20"/>
              </w:rPr>
            </w:pPr>
            <w:r w:rsidRPr="00D50E91">
              <w:rPr>
                <w:b/>
                <w:sz w:val="18"/>
                <w:szCs w:val="20"/>
              </w:rPr>
              <w:t xml:space="preserve"> A</w:t>
            </w:r>
            <w:r w:rsidR="00E651AC" w:rsidRPr="00D50E91">
              <w:rPr>
                <w:b/>
                <w:sz w:val="18"/>
                <w:szCs w:val="20"/>
              </w:rPr>
              <w:t xml:space="preserve"> megengedett legnagyobb útvonalhossz (m), ha a kiürítendő kockázati egység kockázati osztálya</w:t>
            </w:r>
          </w:p>
        </w:tc>
      </w:tr>
      <w:tr w:rsidR="00E651AC" w:rsidRPr="00D50E91" w:rsidTr="00BA45D4">
        <w:trPr>
          <w:trHeight w:val="64"/>
        </w:trPr>
        <w:tc>
          <w:tcPr>
            <w:tcW w:w="557"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left="56" w:right="56"/>
              <w:jc w:val="center"/>
              <w:rPr>
                <w:sz w:val="18"/>
                <w:szCs w:val="20"/>
              </w:rPr>
            </w:pPr>
            <w:r w:rsidRPr="00D50E91">
              <w:rPr>
                <w:sz w:val="18"/>
                <w:szCs w:val="20"/>
              </w:rPr>
              <w:t xml:space="preserve"> 2</w:t>
            </w:r>
          </w:p>
        </w:tc>
        <w:tc>
          <w:tcPr>
            <w:tcW w:w="5255" w:type="dxa"/>
            <w:gridSpan w:val="2"/>
            <w:tcBorders>
              <w:top w:val="nil"/>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rPr>
                <w:sz w:val="18"/>
                <w:szCs w:val="20"/>
              </w:rPr>
            </w:pPr>
            <w:r w:rsidRPr="00D50E91">
              <w:rPr>
                <w:sz w:val="18"/>
                <w:szCs w:val="20"/>
              </w:rPr>
              <w:t xml:space="preserve"> </w:t>
            </w:r>
          </w:p>
        </w:tc>
        <w:tc>
          <w:tcPr>
            <w:tcW w:w="1000" w:type="dxa"/>
            <w:tcBorders>
              <w:top w:val="nil"/>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rPr>
                <w:sz w:val="18"/>
                <w:szCs w:val="20"/>
              </w:rPr>
            </w:pPr>
          </w:p>
        </w:tc>
        <w:tc>
          <w:tcPr>
            <w:tcW w:w="692"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left="56" w:right="56"/>
              <w:jc w:val="center"/>
              <w:rPr>
                <w:sz w:val="18"/>
                <w:szCs w:val="20"/>
              </w:rPr>
            </w:pPr>
            <w:r w:rsidRPr="00D50E91">
              <w:rPr>
                <w:sz w:val="18"/>
                <w:szCs w:val="20"/>
              </w:rPr>
              <w:t xml:space="preserve"> NAK</w:t>
            </w:r>
          </w:p>
        </w:tc>
        <w:tc>
          <w:tcPr>
            <w:tcW w:w="1139"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left="56" w:right="56"/>
              <w:jc w:val="center"/>
              <w:rPr>
                <w:sz w:val="18"/>
                <w:szCs w:val="20"/>
              </w:rPr>
            </w:pPr>
            <w:r w:rsidRPr="00D50E91">
              <w:rPr>
                <w:sz w:val="18"/>
                <w:szCs w:val="20"/>
              </w:rPr>
              <w:t xml:space="preserve"> AK</w:t>
            </w:r>
          </w:p>
        </w:tc>
        <w:tc>
          <w:tcPr>
            <w:tcW w:w="1133" w:type="dxa"/>
            <w:gridSpan w:val="2"/>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left="56" w:right="56"/>
              <w:jc w:val="center"/>
              <w:rPr>
                <w:sz w:val="18"/>
                <w:szCs w:val="20"/>
              </w:rPr>
            </w:pPr>
            <w:r w:rsidRPr="00D50E91">
              <w:rPr>
                <w:sz w:val="18"/>
                <w:szCs w:val="20"/>
              </w:rPr>
              <w:t xml:space="preserve"> KK</w:t>
            </w:r>
          </w:p>
        </w:tc>
        <w:tc>
          <w:tcPr>
            <w:tcW w:w="1137"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left="56" w:right="56"/>
              <w:jc w:val="center"/>
              <w:rPr>
                <w:sz w:val="18"/>
                <w:szCs w:val="20"/>
              </w:rPr>
            </w:pPr>
            <w:r w:rsidRPr="00D50E91">
              <w:rPr>
                <w:sz w:val="18"/>
                <w:szCs w:val="20"/>
              </w:rPr>
              <w:t xml:space="preserve"> MK</w:t>
            </w:r>
          </w:p>
        </w:tc>
      </w:tr>
      <w:tr w:rsidR="00E651AC" w:rsidRPr="00D50E91" w:rsidTr="00BA45D4">
        <w:tc>
          <w:tcPr>
            <w:tcW w:w="557"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left="56" w:right="56"/>
              <w:jc w:val="center"/>
              <w:rPr>
                <w:sz w:val="18"/>
                <w:szCs w:val="20"/>
              </w:rPr>
            </w:pPr>
            <w:r w:rsidRPr="00D50E91">
              <w:rPr>
                <w:sz w:val="18"/>
                <w:szCs w:val="20"/>
              </w:rPr>
              <w:t xml:space="preserve"> 3</w:t>
            </w:r>
          </w:p>
        </w:tc>
        <w:tc>
          <w:tcPr>
            <w:tcW w:w="6255" w:type="dxa"/>
            <w:gridSpan w:val="3"/>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right="56"/>
              <w:rPr>
                <w:sz w:val="18"/>
                <w:szCs w:val="20"/>
              </w:rPr>
            </w:pPr>
            <w:r w:rsidRPr="00D50E91">
              <w:rPr>
                <w:sz w:val="18"/>
                <w:szCs w:val="20"/>
              </w:rPr>
              <w:t xml:space="preserve"> Menekülési út elérési távolsága</w:t>
            </w:r>
          </w:p>
        </w:tc>
        <w:tc>
          <w:tcPr>
            <w:tcW w:w="692" w:type="dxa"/>
            <w:tcBorders>
              <w:top w:val="single" w:sz="4" w:space="0" w:color="auto"/>
              <w:left w:val="single" w:sz="4" w:space="0" w:color="auto"/>
              <w:bottom w:val="nil"/>
              <w:right w:val="single" w:sz="4" w:space="0" w:color="auto"/>
            </w:tcBorders>
          </w:tcPr>
          <w:p w:rsidR="00E651AC" w:rsidRPr="00D50E91" w:rsidRDefault="00E651AC" w:rsidP="00BA45D4">
            <w:pPr>
              <w:autoSpaceDE w:val="0"/>
              <w:autoSpaceDN w:val="0"/>
              <w:adjustRightInd w:val="0"/>
              <w:rPr>
                <w:sz w:val="18"/>
                <w:szCs w:val="20"/>
              </w:rPr>
            </w:pPr>
            <w:r w:rsidRPr="00D50E91">
              <w:rPr>
                <w:sz w:val="18"/>
                <w:szCs w:val="20"/>
              </w:rPr>
              <w:t xml:space="preserve"> </w:t>
            </w:r>
          </w:p>
        </w:tc>
        <w:tc>
          <w:tcPr>
            <w:tcW w:w="1139" w:type="dxa"/>
            <w:tcBorders>
              <w:top w:val="single" w:sz="4" w:space="0" w:color="auto"/>
              <w:left w:val="single" w:sz="4" w:space="0" w:color="auto"/>
              <w:bottom w:val="nil"/>
              <w:right w:val="single" w:sz="4" w:space="0" w:color="auto"/>
            </w:tcBorders>
          </w:tcPr>
          <w:p w:rsidR="00E651AC" w:rsidRPr="00D50E91" w:rsidRDefault="00E651AC" w:rsidP="00BA45D4">
            <w:pPr>
              <w:autoSpaceDE w:val="0"/>
              <w:autoSpaceDN w:val="0"/>
              <w:adjustRightInd w:val="0"/>
              <w:rPr>
                <w:sz w:val="18"/>
                <w:szCs w:val="20"/>
              </w:rPr>
            </w:pPr>
            <w:r w:rsidRPr="00D50E91">
              <w:rPr>
                <w:sz w:val="18"/>
                <w:szCs w:val="20"/>
              </w:rPr>
              <w:t xml:space="preserve"> </w:t>
            </w:r>
          </w:p>
        </w:tc>
        <w:tc>
          <w:tcPr>
            <w:tcW w:w="1133" w:type="dxa"/>
            <w:gridSpan w:val="2"/>
            <w:tcBorders>
              <w:top w:val="single" w:sz="4" w:space="0" w:color="auto"/>
              <w:left w:val="single" w:sz="4" w:space="0" w:color="auto"/>
              <w:bottom w:val="nil"/>
              <w:right w:val="single" w:sz="4" w:space="0" w:color="auto"/>
            </w:tcBorders>
          </w:tcPr>
          <w:p w:rsidR="00E651AC" w:rsidRPr="00D50E91" w:rsidRDefault="00E651AC" w:rsidP="00BA45D4">
            <w:pPr>
              <w:autoSpaceDE w:val="0"/>
              <w:autoSpaceDN w:val="0"/>
              <w:adjustRightInd w:val="0"/>
              <w:rPr>
                <w:sz w:val="18"/>
                <w:szCs w:val="20"/>
              </w:rPr>
            </w:pPr>
            <w:r w:rsidRPr="00D50E91">
              <w:rPr>
                <w:sz w:val="18"/>
                <w:szCs w:val="20"/>
              </w:rPr>
              <w:t xml:space="preserve"> </w:t>
            </w:r>
          </w:p>
        </w:tc>
        <w:tc>
          <w:tcPr>
            <w:tcW w:w="1137" w:type="dxa"/>
            <w:tcBorders>
              <w:top w:val="single" w:sz="4" w:space="0" w:color="auto"/>
              <w:left w:val="single" w:sz="4" w:space="0" w:color="auto"/>
              <w:bottom w:val="nil"/>
              <w:right w:val="single" w:sz="4" w:space="0" w:color="auto"/>
            </w:tcBorders>
          </w:tcPr>
          <w:p w:rsidR="00E651AC" w:rsidRPr="00D50E91" w:rsidRDefault="00E651AC" w:rsidP="00BA45D4">
            <w:pPr>
              <w:autoSpaceDE w:val="0"/>
              <w:autoSpaceDN w:val="0"/>
              <w:adjustRightInd w:val="0"/>
              <w:rPr>
                <w:sz w:val="18"/>
                <w:szCs w:val="20"/>
              </w:rPr>
            </w:pPr>
            <w:r w:rsidRPr="00D50E91">
              <w:rPr>
                <w:sz w:val="18"/>
                <w:szCs w:val="20"/>
              </w:rPr>
              <w:t xml:space="preserve"> </w:t>
            </w:r>
          </w:p>
        </w:tc>
      </w:tr>
      <w:tr w:rsidR="00E651AC" w:rsidRPr="00D50E91" w:rsidTr="00BA45D4">
        <w:tc>
          <w:tcPr>
            <w:tcW w:w="557"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left="56" w:right="56"/>
              <w:jc w:val="center"/>
              <w:rPr>
                <w:sz w:val="18"/>
                <w:szCs w:val="20"/>
              </w:rPr>
            </w:pPr>
            <w:r w:rsidRPr="00D50E91">
              <w:rPr>
                <w:sz w:val="18"/>
                <w:szCs w:val="20"/>
              </w:rPr>
              <w:t xml:space="preserve"> 4</w:t>
            </w:r>
          </w:p>
        </w:tc>
        <w:tc>
          <w:tcPr>
            <w:tcW w:w="6255" w:type="dxa"/>
            <w:gridSpan w:val="3"/>
            <w:tcBorders>
              <w:top w:val="single" w:sz="4" w:space="0" w:color="auto"/>
              <w:left w:val="single" w:sz="4" w:space="0" w:color="auto"/>
              <w:bottom w:val="single" w:sz="4" w:space="0" w:color="auto"/>
              <w:right w:val="single" w:sz="4" w:space="0" w:color="auto"/>
            </w:tcBorders>
          </w:tcPr>
          <w:p w:rsidR="00E651AC" w:rsidRPr="00D50E91" w:rsidRDefault="00227C6F" w:rsidP="00BA45D4">
            <w:pPr>
              <w:autoSpaceDE w:val="0"/>
              <w:autoSpaceDN w:val="0"/>
              <w:adjustRightInd w:val="0"/>
              <w:ind w:left="56" w:right="56"/>
              <w:rPr>
                <w:sz w:val="18"/>
                <w:szCs w:val="20"/>
              </w:rPr>
            </w:pPr>
            <w:r w:rsidRPr="00D50E91">
              <w:rPr>
                <w:sz w:val="18"/>
                <w:szCs w:val="20"/>
              </w:rPr>
              <w:t xml:space="preserve"> Á</w:t>
            </w:r>
            <w:r w:rsidR="00E651AC" w:rsidRPr="00D50E91">
              <w:rPr>
                <w:sz w:val="18"/>
                <w:szCs w:val="20"/>
              </w:rPr>
              <w:t>tmeneti védett tér és biztonságos tér elérési távolsága menekülési útvonal nélkül</w:t>
            </w:r>
          </w:p>
        </w:tc>
        <w:tc>
          <w:tcPr>
            <w:tcW w:w="692" w:type="dxa"/>
            <w:tcBorders>
              <w:top w:val="nil"/>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left="56" w:right="56"/>
              <w:jc w:val="center"/>
              <w:rPr>
                <w:sz w:val="18"/>
                <w:szCs w:val="20"/>
              </w:rPr>
            </w:pPr>
            <w:r w:rsidRPr="00D50E91">
              <w:rPr>
                <w:sz w:val="18"/>
                <w:szCs w:val="20"/>
              </w:rPr>
              <w:t xml:space="preserve"> 30</w:t>
            </w:r>
          </w:p>
        </w:tc>
        <w:tc>
          <w:tcPr>
            <w:tcW w:w="1139" w:type="dxa"/>
            <w:tcBorders>
              <w:top w:val="nil"/>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left="56" w:right="56"/>
              <w:jc w:val="center"/>
              <w:rPr>
                <w:sz w:val="18"/>
                <w:szCs w:val="20"/>
              </w:rPr>
            </w:pPr>
            <w:r w:rsidRPr="00D50E91">
              <w:rPr>
                <w:sz w:val="18"/>
                <w:szCs w:val="20"/>
              </w:rPr>
              <w:t xml:space="preserve"> 45</w:t>
            </w:r>
          </w:p>
        </w:tc>
        <w:tc>
          <w:tcPr>
            <w:tcW w:w="1133" w:type="dxa"/>
            <w:gridSpan w:val="2"/>
            <w:tcBorders>
              <w:top w:val="nil"/>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left="56" w:right="56"/>
              <w:jc w:val="center"/>
              <w:rPr>
                <w:sz w:val="18"/>
                <w:szCs w:val="20"/>
              </w:rPr>
            </w:pPr>
            <w:r w:rsidRPr="00D50E91">
              <w:rPr>
                <w:sz w:val="18"/>
                <w:szCs w:val="20"/>
              </w:rPr>
              <w:t xml:space="preserve"> 45</w:t>
            </w:r>
          </w:p>
        </w:tc>
        <w:tc>
          <w:tcPr>
            <w:tcW w:w="1137" w:type="dxa"/>
            <w:tcBorders>
              <w:top w:val="nil"/>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jc w:val="center"/>
              <w:rPr>
                <w:sz w:val="18"/>
                <w:szCs w:val="20"/>
              </w:rPr>
            </w:pPr>
            <w:r w:rsidRPr="00D50E91">
              <w:rPr>
                <w:sz w:val="18"/>
              </w:rPr>
              <w:t>45</w:t>
            </w:r>
          </w:p>
        </w:tc>
      </w:tr>
      <w:tr w:rsidR="00E651AC" w:rsidRPr="00D50E91" w:rsidTr="00BA45D4">
        <w:trPr>
          <w:trHeight w:val="461"/>
        </w:trPr>
        <w:tc>
          <w:tcPr>
            <w:tcW w:w="557" w:type="dxa"/>
            <w:tcBorders>
              <w:top w:val="single" w:sz="4" w:space="0" w:color="auto"/>
              <w:left w:val="single" w:sz="4" w:space="0" w:color="auto"/>
              <w:bottom w:val="single" w:sz="4" w:space="0" w:color="auto"/>
              <w:right w:val="single" w:sz="4" w:space="0" w:color="auto"/>
            </w:tcBorders>
          </w:tcPr>
          <w:p w:rsidR="00E651AC" w:rsidRPr="00D50E91" w:rsidRDefault="00BA45D4" w:rsidP="00BA45D4">
            <w:pPr>
              <w:autoSpaceDE w:val="0"/>
              <w:autoSpaceDN w:val="0"/>
              <w:adjustRightInd w:val="0"/>
              <w:ind w:left="56" w:right="56"/>
              <w:jc w:val="center"/>
              <w:rPr>
                <w:sz w:val="18"/>
                <w:szCs w:val="20"/>
              </w:rPr>
            </w:pPr>
            <w:r w:rsidRPr="00D50E91">
              <w:rPr>
                <w:sz w:val="18"/>
                <w:szCs w:val="20"/>
              </w:rPr>
              <w:t xml:space="preserve"> </w:t>
            </w:r>
            <w:r w:rsidR="00E651AC" w:rsidRPr="00D50E91">
              <w:rPr>
                <w:sz w:val="18"/>
                <w:szCs w:val="20"/>
              </w:rPr>
              <w:t>5</w:t>
            </w:r>
          </w:p>
        </w:tc>
        <w:tc>
          <w:tcPr>
            <w:tcW w:w="1419" w:type="dxa"/>
            <w:vMerge w:val="restart"/>
            <w:tcBorders>
              <w:top w:val="single" w:sz="4" w:space="0" w:color="auto"/>
              <w:left w:val="single" w:sz="4" w:space="0" w:color="auto"/>
              <w:right w:val="single" w:sz="4" w:space="0" w:color="auto"/>
            </w:tcBorders>
          </w:tcPr>
          <w:p w:rsidR="00E651AC" w:rsidRPr="00D50E91" w:rsidRDefault="00E651AC" w:rsidP="00BA45D4">
            <w:pPr>
              <w:autoSpaceDE w:val="0"/>
              <w:autoSpaceDN w:val="0"/>
              <w:adjustRightInd w:val="0"/>
              <w:ind w:left="56" w:right="56"/>
              <w:jc w:val="both"/>
              <w:rPr>
                <w:sz w:val="18"/>
                <w:szCs w:val="20"/>
              </w:rPr>
            </w:pPr>
            <w:r w:rsidRPr="00D50E91">
              <w:rPr>
                <w:sz w:val="18"/>
                <w:szCs w:val="20"/>
              </w:rPr>
              <w:t>Menekülési út elérési távolságának, valamint átmeneti védett tér és biztonságos tér menekülési útvonal nélküli elérési távolságának megengedett növelése (m)</w:t>
            </w:r>
          </w:p>
          <w:p w:rsidR="00E651AC" w:rsidRPr="00D50E91" w:rsidRDefault="00E651AC" w:rsidP="00BA45D4">
            <w:pPr>
              <w:autoSpaceDE w:val="0"/>
              <w:autoSpaceDN w:val="0"/>
              <w:adjustRightInd w:val="0"/>
              <w:ind w:left="56" w:right="56"/>
              <w:rPr>
                <w:sz w:val="18"/>
                <w:szCs w:val="20"/>
              </w:rPr>
            </w:pPr>
          </w:p>
          <w:p w:rsidR="00E651AC" w:rsidRPr="00D50E91" w:rsidRDefault="00E651AC" w:rsidP="00BA45D4">
            <w:pPr>
              <w:autoSpaceDE w:val="0"/>
              <w:autoSpaceDN w:val="0"/>
              <w:adjustRightInd w:val="0"/>
              <w:ind w:right="56"/>
              <w:jc w:val="both"/>
              <w:rPr>
                <w:sz w:val="18"/>
                <w:szCs w:val="20"/>
              </w:rPr>
            </w:pPr>
          </w:p>
        </w:tc>
        <w:tc>
          <w:tcPr>
            <w:tcW w:w="3836" w:type="dxa"/>
            <w:vMerge w:val="restart"/>
            <w:tcBorders>
              <w:top w:val="single" w:sz="4" w:space="0" w:color="auto"/>
              <w:left w:val="single" w:sz="4" w:space="0" w:color="auto"/>
              <w:right w:val="single" w:sz="4" w:space="0" w:color="auto"/>
            </w:tcBorders>
          </w:tcPr>
          <w:p w:rsidR="00E651AC" w:rsidRPr="00D50E91" w:rsidRDefault="00E651AC" w:rsidP="00BA45D4">
            <w:pPr>
              <w:autoSpaceDE w:val="0"/>
              <w:autoSpaceDN w:val="0"/>
              <w:adjustRightInd w:val="0"/>
              <w:ind w:left="65" w:right="56"/>
              <w:jc w:val="both"/>
              <w:rPr>
                <w:sz w:val="18"/>
              </w:rPr>
            </w:pPr>
            <w:r w:rsidRPr="00D50E91">
              <w:rPr>
                <w:sz w:val="18"/>
              </w:rPr>
              <w:t>tűzjelző berendezéssel és hő</w:t>
            </w:r>
            <w:r w:rsidR="003528A8">
              <w:rPr>
                <w:sz w:val="18"/>
              </w:rPr>
              <w:t>-</w:t>
            </w:r>
            <w:r w:rsidRPr="00D50E91">
              <w:rPr>
                <w:sz w:val="18"/>
              </w:rPr>
              <w:t xml:space="preserve"> és füstelvezetéssel ellátott térben, ha nincs tűzoltó berendezés, de a kiürítési útvonalon biztonsági világítás és menekülési jelek létesülnek</w:t>
            </w:r>
          </w:p>
        </w:tc>
        <w:tc>
          <w:tcPr>
            <w:tcW w:w="1000"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right="56"/>
              <w:jc w:val="center"/>
              <w:rPr>
                <w:sz w:val="18"/>
                <w:szCs w:val="20"/>
              </w:rPr>
            </w:pPr>
            <w:r w:rsidRPr="00D50E91">
              <w:rPr>
                <w:sz w:val="18"/>
                <w:szCs w:val="20"/>
              </w:rPr>
              <w:t>4</w:t>
            </w:r>
            <w:r w:rsidR="003528A8">
              <w:rPr>
                <w:sz w:val="18"/>
                <w:szCs w:val="20"/>
              </w:rPr>
              <w:t>-</w:t>
            </w:r>
            <w:r w:rsidRPr="00D50E91">
              <w:rPr>
                <w:sz w:val="18"/>
                <w:szCs w:val="20"/>
              </w:rPr>
              <w:t>10 m</w:t>
            </w:r>
          </w:p>
        </w:tc>
        <w:tc>
          <w:tcPr>
            <w:tcW w:w="692"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jc w:val="center"/>
              <w:rPr>
                <w:sz w:val="18"/>
                <w:szCs w:val="20"/>
              </w:rPr>
            </w:pPr>
            <w:r w:rsidRPr="00D50E91">
              <w:rPr>
                <w:sz w:val="18"/>
                <w:szCs w:val="20"/>
              </w:rPr>
              <w:t>+5 m</w:t>
            </w:r>
          </w:p>
        </w:tc>
        <w:tc>
          <w:tcPr>
            <w:tcW w:w="1139"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jc w:val="center"/>
              <w:rPr>
                <w:sz w:val="18"/>
                <w:szCs w:val="20"/>
              </w:rPr>
            </w:pPr>
            <w:r w:rsidRPr="00D50E91">
              <w:rPr>
                <w:sz w:val="18"/>
                <w:szCs w:val="20"/>
              </w:rPr>
              <w:t>+10 m</w:t>
            </w:r>
          </w:p>
        </w:tc>
        <w:tc>
          <w:tcPr>
            <w:tcW w:w="1127"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jc w:val="center"/>
              <w:rPr>
                <w:sz w:val="18"/>
                <w:szCs w:val="20"/>
              </w:rPr>
            </w:pPr>
            <w:r w:rsidRPr="00D50E91">
              <w:rPr>
                <w:sz w:val="18"/>
                <w:szCs w:val="20"/>
              </w:rPr>
              <w:t>+10 m</w:t>
            </w:r>
          </w:p>
        </w:tc>
        <w:tc>
          <w:tcPr>
            <w:tcW w:w="1143" w:type="dxa"/>
            <w:gridSpan w:val="2"/>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jc w:val="center"/>
              <w:rPr>
                <w:sz w:val="18"/>
                <w:szCs w:val="20"/>
              </w:rPr>
            </w:pPr>
            <w:r w:rsidRPr="00D50E91">
              <w:rPr>
                <w:sz w:val="18"/>
                <w:szCs w:val="20"/>
              </w:rPr>
              <w:t>+10 m</w:t>
            </w:r>
          </w:p>
        </w:tc>
      </w:tr>
      <w:tr w:rsidR="00E651AC" w:rsidRPr="00D50E91" w:rsidTr="00BA45D4">
        <w:trPr>
          <w:trHeight w:val="353"/>
        </w:trPr>
        <w:tc>
          <w:tcPr>
            <w:tcW w:w="557" w:type="dxa"/>
            <w:tcBorders>
              <w:top w:val="single" w:sz="4" w:space="0" w:color="auto"/>
              <w:left w:val="single" w:sz="4" w:space="0" w:color="auto"/>
              <w:bottom w:val="single" w:sz="4" w:space="0" w:color="auto"/>
              <w:right w:val="single" w:sz="4" w:space="0" w:color="auto"/>
            </w:tcBorders>
          </w:tcPr>
          <w:p w:rsidR="00E651AC" w:rsidRPr="00D50E91" w:rsidRDefault="00BA45D4" w:rsidP="00BA45D4">
            <w:pPr>
              <w:autoSpaceDE w:val="0"/>
              <w:autoSpaceDN w:val="0"/>
              <w:adjustRightInd w:val="0"/>
              <w:ind w:left="56" w:right="56"/>
              <w:jc w:val="center"/>
              <w:rPr>
                <w:sz w:val="18"/>
                <w:szCs w:val="20"/>
              </w:rPr>
            </w:pPr>
            <w:r w:rsidRPr="00D50E91">
              <w:rPr>
                <w:sz w:val="18"/>
                <w:szCs w:val="20"/>
              </w:rPr>
              <w:t xml:space="preserve"> </w:t>
            </w:r>
            <w:r w:rsidR="00E651AC" w:rsidRPr="00D50E91">
              <w:rPr>
                <w:sz w:val="18"/>
                <w:szCs w:val="20"/>
              </w:rPr>
              <w:t>6</w:t>
            </w:r>
          </w:p>
        </w:tc>
        <w:tc>
          <w:tcPr>
            <w:tcW w:w="1419" w:type="dxa"/>
            <w:vMerge/>
            <w:tcBorders>
              <w:left w:val="single" w:sz="4" w:space="0" w:color="auto"/>
              <w:right w:val="single" w:sz="4" w:space="0" w:color="auto"/>
            </w:tcBorders>
          </w:tcPr>
          <w:p w:rsidR="00E651AC" w:rsidRPr="00D50E91" w:rsidRDefault="00E651AC" w:rsidP="00BA45D4">
            <w:pPr>
              <w:autoSpaceDE w:val="0"/>
              <w:autoSpaceDN w:val="0"/>
              <w:adjustRightInd w:val="0"/>
              <w:ind w:left="913" w:right="56"/>
              <w:rPr>
                <w:sz w:val="18"/>
              </w:rPr>
            </w:pPr>
          </w:p>
        </w:tc>
        <w:tc>
          <w:tcPr>
            <w:tcW w:w="3836" w:type="dxa"/>
            <w:vMerge/>
            <w:tcBorders>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left="913" w:right="56"/>
              <w:rPr>
                <w:sz w:val="18"/>
              </w:rPr>
            </w:pPr>
          </w:p>
        </w:tc>
        <w:tc>
          <w:tcPr>
            <w:tcW w:w="1000"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right="56"/>
              <w:jc w:val="center"/>
              <w:rPr>
                <w:sz w:val="18"/>
                <w:szCs w:val="20"/>
              </w:rPr>
            </w:pPr>
            <w:r w:rsidRPr="00D50E91">
              <w:rPr>
                <w:sz w:val="18"/>
                <w:szCs w:val="20"/>
              </w:rPr>
              <w:t>&gt;10 m</w:t>
            </w:r>
          </w:p>
        </w:tc>
        <w:tc>
          <w:tcPr>
            <w:tcW w:w="692"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jc w:val="center"/>
              <w:rPr>
                <w:sz w:val="18"/>
                <w:szCs w:val="20"/>
              </w:rPr>
            </w:pPr>
            <w:r w:rsidRPr="00D50E91">
              <w:rPr>
                <w:sz w:val="18"/>
                <w:szCs w:val="20"/>
              </w:rPr>
              <w:t>+10 m</w:t>
            </w:r>
          </w:p>
        </w:tc>
        <w:tc>
          <w:tcPr>
            <w:tcW w:w="1139"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jc w:val="center"/>
              <w:rPr>
                <w:sz w:val="18"/>
                <w:szCs w:val="20"/>
              </w:rPr>
            </w:pPr>
            <w:r w:rsidRPr="00D50E91">
              <w:rPr>
                <w:sz w:val="18"/>
                <w:szCs w:val="20"/>
              </w:rPr>
              <w:t>+15 m</w:t>
            </w:r>
          </w:p>
        </w:tc>
        <w:tc>
          <w:tcPr>
            <w:tcW w:w="1127"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jc w:val="center"/>
              <w:rPr>
                <w:sz w:val="18"/>
                <w:szCs w:val="20"/>
              </w:rPr>
            </w:pPr>
            <w:r w:rsidRPr="00D50E91">
              <w:rPr>
                <w:sz w:val="18"/>
                <w:szCs w:val="20"/>
              </w:rPr>
              <w:t>+15 m</w:t>
            </w:r>
          </w:p>
        </w:tc>
        <w:tc>
          <w:tcPr>
            <w:tcW w:w="1143" w:type="dxa"/>
            <w:gridSpan w:val="2"/>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jc w:val="center"/>
              <w:rPr>
                <w:sz w:val="18"/>
                <w:szCs w:val="20"/>
              </w:rPr>
            </w:pPr>
            <w:r w:rsidRPr="00D50E91">
              <w:rPr>
                <w:sz w:val="18"/>
                <w:szCs w:val="20"/>
              </w:rPr>
              <w:t>+15 m</w:t>
            </w:r>
          </w:p>
        </w:tc>
      </w:tr>
      <w:tr w:rsidR="00E651AC" w:rsidRPr="00D50E91" w:rsidTr="00BA45D4">
        <w:trPr>
          <w:trHeight w:val="545"/>
        </w:trPr>
        <w:tc>
          <w:tcPr>
            <w:tcW w:w="557" w:type="dxa"/>
            <w:tcBorders>
              <w:top w:val="single" w:sz="4" w:space="0" w:color="auto"/>
              <w:left w:val="single" w:sz="4" w:space="0" w:color="auto"/>
              <w:bottom w:val="single" w:sz="4" w:space="0" w:color="auto"/>
              <w:right w:val="single" w:sz="4" w:space="0" w:color="auto"/>
            </w:tcBorders>
          </w:tcPr>
          <w:p w:rsidR="00E651AC" w:rsidRPr="00D50E91" w:rsidRDefault="00BA45D4" w:rsidP="00BA45D4">
            <w:pPr>
              <w:autoSpaceDE w:val="0"/>
              <w:autoSpaceDN w:val="0"/>
              <w:adjustRightInd w:val="0"/>
              <w:ind w:left="56" w:right="56"/>
              <w:jc w:val="center"/>
              <w:rPr>
                <w:sz w:val="18"/>
                <w:szCs w:val="20"/>
              </w:rPr>
            </w:pPr>
            <w:r w:rsidRPr="00D50E91">
              <w:rPr>
                <w:sz w:val="18"/>
                <w:szCs w:val="20"/>
              </w:rPr>
              <w:t xml:space="preserve"> </w:t>
            </w:r>
            <w:r w:rsidR="00E651AC" w:rsidRPr="00D50E91">
              <w:rPr>
                <w:sz w:val="18"/>
                <w:szCs w:val="20"/>
              </w:rPr>
              <w:t>7</w:t>
            </w:r>
          </w:p>
        </w:tc>
        <w:tc>
          <w:tcPr>
            <w:tcW w:w="1419" w:type="dxa"/>
            <w:vMerge/>
            <w:tcBorders>
              <w:left w:val="single" w:sz="4" w:space="0" w:color="auto"/>
              <w:right w:val="single" w:sz="4" w:space="0" w:color="auto"/>
            </w:tcBorders>
          </w:tcPr>
          <w:p w:rsidR="00E651AC" w:rsidRPr="00D50E91" w:rsidRDefault="00E651AC" w:rsidP="00BA45D4">
            <w:pPr>
              <w:autoSpaceDE w:val="0"/>
              <w:autoSpaceDN w:val="0"/>
              <w:adjustRightInd w:val="0"/>
              <w:ind w:left="913" w:right="56"/>
              <w:rPr>
                <w:sz w:val="18"/>
              </w:rPr>
            </w:pPr>
          </w:p>
        </w:tc>
        <w:tc>
          <w:tcPr>
            <w:tcW w:w="3836" w:type="dxa"/>
            <w:vMerge w:val="restart"/>
            <w:tcBorders>
              <w:top w:val="single" w:sz="4" w:space="0" w:color="auto"/>
              <w:left w:val="single" w:sz="4" w:space="0" w:color="auto"/>
              <w:right w:val="single" w:sz="4" w:space="0" w:color="auto"/>
            </w:tcBorders>
          </w:tcPr>
          <w:p w:rsidR="00E651AC" w:rsidRPr="00D50E91" w:rsidRDefault="00E651AC" w:rsidP="00462DFB">
            <w:pPr>
              <w:autoSpaceDE w:val="0"/>
              <w:autoSpaceDN w:val="0"/>
              <w:adjustRightInd w:val="0"/>
              <w:ind w:right="56"/>
              <w:jc w:val="both"/>
              <w:rPr>
                <w:sz w:val="18"/>
              </w:rPr>
            </w:pPr>
            <w:r w:rsidRPr="00D50E91">
              <w:rPr>
                <w:sz w:val="18"/>
              </w:rPr>
              <w:t>ipari, mezőgazdasági, tárolási alaprendeltetés esetén, tűzjelző és tűzoltó berendezéssel és hő</w:t>
            </w:r>
            <w:r w:rsidR="003528A8">
              <w:rPr>
                <w:sz w:val="18"/>
              </w:rPr>
              <w:t>-</w:t>
            </w:r>
            <w:r w:rsidRPr="00D50E91">
              <w:rPr>
                <w:sz w:val="18"/>
              </w:rPr>
              <w:t xml:space="preserve"> és füstelvezetéssel ellátott térben, ha a helyiség alapterülete meghaladja az 5</w:t>
            </w:r>
            <w:r w:rsidR="00462DFB" w:rsidRPr="00D50E91">
              <w:rPr>
                <w:sz w:val="18"/>
              </w:rPr>
              <w:t> </w:t>
            </w:r>
            <w:r w:rsidRPr="00D50E91">
              <w:rPr>
                <w:sz w:val="18"/>
              </w:rPr>
              <w:t>000</w:t>
            </w:r>
            <w:r w:rsidR="00462DFB" w:rsidRPr="00D50E91">
              <w:rPr>
                <w:sz w:val="18"/>
              </w:rPr>
              <w:t xml:space="preserve"> </w:t>
            </w:r>
            <w:r w:rsidRPr="00D50E91">
              <w:rPr>
                <w:sz w:val="18"/>
              </w:rPr>
              <w:t>m</w:t>
            </w:r>
            <w:r w:rsidRPr="00D50E91">
              <w:rPr>
                <w:sz w:val="18"/>
                <w:vertAlign w:val="superscript"/>
              </w:rPr>
              <w:t>2</w:t>
            </w:r>
            <w:r w:rsidR="003528A8">
              <w:rPr>
                <w:sz w:val="18"/>
              </w:rPr>
              <w:t>-</w:t>
            </w:r>
            <w:r w:rsidRPr="00D50E91">
              <w:rPr>
                <w:sz w:val="18"/>
              </w:rPr>
              <w:t>t, de legfeljebb 10</w:t>
            </w:r>
            <w:r w:rsidR="00462DFB" w:rsidRPr="00D50E91">
              <w:rPr>
                <w:sz w:val="18"/>
              </w:rPr>
              <w:t> </w:t>
            </w:r>
            <w:r w:rsidRPr="00D50E91">
              <w:rPr>
                <w:sz w:val="18"/>
              </w:rPr>
              <w:t>000</w:t>
            </w:r>
            <w:r w:rsidR="00462DFB" w:rsidRPr="00D50E91">
              <w:rPr>
                <w:sz w:val="18"/>
              </w:rPr>
              <w:t xml:space="preserve"> </w:t>
            </w:r>
            <w:r w:rsidRPr="00D50E91">
              <w:rPr>
                <w:sz w:val="18"/>
              </w:rPr>
              <w:t>m</w:t>
            </w:r>
            <w:r w:rsidRPr="00D50E91">
              <w:rPr>
                <w:sz w:val="18"/>
                <w:vertAlign w:val="superscript"/>
              </w:rPr>
              <w:t>2</w:t>
            </w:r>
            <w:r w:rsidRPr="00D50E91">
              <w:rPr>
                <w:sz w:val="18"/>
              </w:rPr>
              <w:t>, és a kiürítési útvonalon biztonsági világítás és menekülési jelek létesülnek</w:t>
            </w:r>
          </w:p>
        </w:tc>
        <w:tc>
          <w:tcPr>
            <w:tcW w:w="1000" w:type="dxa"/>
            <w:vMerge w:val="restart"/>
            <w:tcBorders>
              <w:top w:val="single" w:sz="4" w:space="0" w:color="auto"/>
              <w:left w:val="single" w:sz="4" w:space="0" w:color="auto"/>
              <w:right w:val="single" w:sz="4" w:space="0" w:color="auto"/>
            </w:tcBorders>
          </w:tcPr>
          <w:p w:rsidR="00E651AC" w:rsidRPr="00D50E91" w:rsidRDefault="00E651AC" w:rsidP="00BA45D4">
            <w:pPr>
              <w:autoSpaceDE w:val="0"/>
              <w:autoSpaceDN w:val="0"/>
              <w:adjustRightInd w:val="0"/>
              <w:jc w:val="center"/>
              <w:rPr>
                <w:sz w:val="18"/>
                <w:szCs w:val="20"/>
              </w:rPr>
            </w:pPr>
            <w:r w:rsidRPr="00D50E91">
              <w:rPr>
                <w:sz w:val="18"/>
                <w:szCs w:val="20"/>
              </w:rPr>
              <w:t>4</w:t>
            </w:r>
            <w:r w:rsidR="003528A8">
              <w:rPr>
                <w:sz w:val="18"/>
                <w:szCs w:val="20"/>
              </w:rPr>
              <w:t>-</w:t>
            </w:r>
            <w:r w:rsidRPr="00D50E91">
              <w:rPr>
                <w:sz w:val="18"/>
                <w:szCs w:val="20"/>
              </w:rPr>
              <w:t>7 m</w:t>
            </w:r>
          </w:p>
        </w:tc>
        <w:tc>
          <w:tcPr>
            <w:tcW w:w="692" w:type="dxa"/>
            <w:vMerge w:val="restart"/>
            <w:tcBorders>
              <w:top w:val="single" w:sz="4" w:space="0" w:color="auto"/>
              <w:left w:val="single" w:sz="4" w:space="0" w:color="auto"/>
              <w:right w:val="single" w:sz="4" w:space="0" w:color="auto"/>
            </w:tcBorders>
          </w:tcPr>
          <w:p w:rsidR="00E651AC" w:rsidRPr="00D50E91" w:rsidRDefault="00E651AC" w:rsidP="00BA45D4">
            <w:pPr>
              <w:autoSpaceDE w:val="0"/>
              <w:autoSpaceDN w:val="0"/>
              <w:adjustRightInd w:val="0"/>
              <w:jc w:val="center"/>
              <w:rPr>
                <w:sz w:val="18"/>
                <w:szCs w:val="20"/>
              </w:rPr>
            </w:pPr>
            <w:r w:rsidRPr="00D50E91">
              <w:rPr>
                <w:sz w:val="18"/>
                <w:szCs w:val="20"/>
              </w:rPr>
              <w:t>+ 15 m</w:t>
            </w:r>
          </w:p>
        </w:tc>
        <w:tc>
          <w:tcPr>
            <w:tcW w:w="1139" w:type="dxa"/>
            <w:vMerge w:val="restart"/>
            <w:tcBorders>
              <w:top w:val="single" w:sz="4" w:space="0" w:color="auto"/>
              <w:left w:val="single" w:sz="4" w:space="0" w:color="auto"/>
              <w:right w:val="single" w:sz="4" w:space="0" w:color="auto"/>
            </w:tcBorders>
          </w:tcPr>
          <w:p w:rsidR="00E651AC" w:rsidRPr="00D50E91" w:rsidRDefault="00E651AC" w:rsidP="00BA45D4">
            <w:pPr>
              <w:autoSpaceDE w:val="0"/>
              <w:autoSpaceDN w:val="0"/>
              <w:adjustRightInd w:val="0"/>
              <w:jc w:val="center"/>
              <w:rPr>
                <w:sz w:val="18"/>
                <w:szCs w:val="20"/>
              </w:rPr>
            </w:pPr>
            <w:r w:rsidRPr="00D50E91">
              <w:rPr>
                <w:sz w:val="18"/>
                <w:szCs w:val="20"/>
              </w:rPr>
              <w:t>+20 m</w:t>
            </w:r>
          </w:p>
        </w:tc>
        <w:tc>
          <w:tcPr>
            <w:tcW w:w="1127" w:type="dxa"/>
            <w:vMerge w:val="restart"/>
            <w:tcBorders>
              <w:top w:val="single" w:sz="4" w:space="0" w:color="auto"/>
              <w:left w:val="single" w:sz="4" w:space="0" w:color="auto"/>
              <w:right w:val="single" w:sz="4" w:space="0" w:color="auto"/>
            </w:tcBorders>
          </w:tcPr>
          <w:p w:rsidR="00E651AC" w:rsidRPr="00D50E91" w:rsidRDefault="00E651AC" w:rsidP="00BA45D4">
            <w:pPr>
              <w:autoSpaceDE w:val="0"/>
              <w:autoSpaceDN w:val="0"/>
              <w:adjustRightInd w:val="0"/>
              <w:jc w:val="center"/>
              <w:rPr>
                <w:sz w:val="18"/>
                <w:szCs w:val="20"/>
              </w:rPr>
            </w:pPr>
            <w:r w:rsidRPr="00D50E91">
              <w:rPr>
                <w:sz w:val="18"/>
                <w:szCs w:val="20"/>
              </w:rPr>
              <w:t>+20 m</w:t>
            </w:r>
          </w:p>
        </w:tc>
        <w:tc>
          <w:tcPr>
            <w:tcW w:w="1143" w:type="dxa"/>
            <w:gridSpan w:val="2"/>
            <w:vMerge w:val="restart"/>
            <w:tcBorders>
              <w:top w:val="single" w:sz="4" w:space="0" w:color="auto"/>
              <w:left w:val="single" w:sz="4" w:space="0" w:color="auto"/>
              <w:right w:val="single" w:sz="4" w:space="0" w:color="auto"/>
            </w:tcBorders>
          </w:tcPr>
          <w:p w:rsidR="00E651AC" w:rsidRPr="00D50E91" w:rsidRDefault="00E651AC" w:rsidP="00BA45D4">
            <w:pPr>
              <w:autoSpaceDE w:val="0"/>
              <w:autoSpaceDN w:val="0"/>
              <w:adjustRightInd w:val="0"/>
              <w:jc w:val="center"/>
              <w:rPr>
                <w:sz w:val="18"/>
                <w:szCs w:val="20"/>
              </w:rPr>
            </w:pPr>
            <w:r w:rsidRPr="00D50E91">
              <w:rPr>
                <w:sz w:val="18"/>
                <w:szCs w:val="20"/>
              </w:rPr>
              <w:t>+20 m</w:t>
            </w:r>
          </w:p>
        </w:tc>
      </w:tr>
      <w:tr w:rsidR="00E651AC" w:rsidRPr="00D50E91" w:rsidTr="00BA45D4">
        <w:trPr>
          <w:trHeight w:val="207"/>
        </w:trPr>
        <w:tc>
          <w:tcPr>
            <w:tcW w:w="557" w:type="dxa"/>
            <w:vMerge w:val="restart"/>
            <w:tcBorders>
              <w:top w:val="single" w:sz="4" w:space="0" w:color="auto"/>
              <w:left w:val="single" w:sz="4" w:space="0" w:color="auto"/>
              <w:right w:val="single" w:sz="4" w:space="0" w:color="auto"/>
            </w:tcBorders>
          </w:tcPr>
          <w:p w:rsidR="00E651AC" w:rsidRPr="00D50E91" w:rsidDel="00123616" w:rsidRDefault="00BA45D4" w:rsidP="00BA45D4">
            <w:pPr>
              <w:autoSpaceDE w:val="0"/>
              <w:autoSpaceDN w:val="0"/>
              <w:adjustRightInd w:val="0"/>
              <w:ind w:left="56" w:right="56"/>
              <w:jc w:val="center"/>
              <w:rPr>
                <w:sz w:val="18"/>
                <w:szCs w:val="20"/>
              </w:rPr>
            </w:pPr>
            <w:r w:rsidRPr="00D50E91">
              <w:rPr>
                <w:sz w:val="18"/>
                <w:szCs w:val="20"/>
              </w:rPr>
              <w:t xml:space="preserve"> </w:t>
            </w:r>
            <w:r w:rsidR="00E651AC" w:rsidRPr="00D50E91">
              <w:rPr>
                <w:sz w:val="18"/>
                <w:szCs w:val="20"/>
              </w:rPr>
              <w:t>8</w:t>
            </w:r>
          </w:p>
        </w:tc>
        <w:tc>
          <w:tcPr>
            <w:tcW w:w="1419" w:type="dxa"/>
            <w:vMerge/>
            <w:tcBorders>
              <w:left w:val="single" w:sz="4" w:space="0" w:color="auto"/>
              <w:right w:val="single" w:sz="4" w:space="0" w:color="auto"/>
            </w:tcBorders>
          </w:tcPr>
          <w:p w:rsidR="00E651AC" w:rsidRPr="00D50E91" w:rsidRDefault="00E651AC" w:rsidP="00BA45D4">
            <w:pPr>
              <w:autoSpaceDE w:val="0"/>
              <w:autoSpaceDN w:val="0"/>
              <w:adjustRightInd w:val="0"/>
              <w:ind w:left="913" w:right="56"/>
              <w:rPr>
                <w:sz w:val="18"/>
              </w:rPr>
            </w:pPr>
          </w:p>
        </w:tc>
        <w:tc>
          <w:tcPr>
            <w:tcW w:w="3836" w:type="dxa"/>
            <w:vMerge/>
            <w:tcBorders>
              <w:top w:val="single" w:sz="4" w:space="0" w:color="auto"/>
              <w:left w:val="single" w:sz="4" w:space="0" w:color="auto"/>
              <w:right w:val="single" w:sz="4" w:space="0" w:color="auto"/>
            </w:tcBorders>
          </w:tcPr>
          <w:p w:rsidR="00E651AC" w:rsidRPr="00D50E91" w:rsidRDefault="00E651AC" w:rsidP="00BA45D4">
            <w:pPr>
              <w:autoSpaceDE w:val="0"/>
              <w:autoSpaceDN w:val="0"/>
              <w:adjustRightInd w:val="0"/>
              <w:ind w:right="56"/>
              <w:jc w:val="both"/>
              <w:rPr>
                <w:sz w:val="18"/>
              </w:rPr>
            </w:pPr>
          </w:p>
        </w:tc>
        <w:tc>
          <w:tcPr>
            <w:tcW w:w="1000" w:type="dxa"/>
            <w:vMerge/>
            <w:tcBorders>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jc w:val="center"/>
              <w:rPr>
                <w:sz w:val="18"/>
                <w:szCs w:val="20"/>
              </w:rPr>
            </w:pPr>
          </w:p>
        </w:tc>
        <w:tc>
          <w:tcPr>
            <w:tcW w:w="692" w:type="dxa"/>
            <w:vMerge/>
            <w:tcBorders>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right="56"/>
              <w:jc w:val="center"/>
              <w:rPr>
                <w:sz w:val="18"/>
                <w:szCs w:val="20"/>
              </w:rPr>
            </w:pPr>
          </w:p>
        </w:tc>
        <w:tc>
          <w:tcPr>
            <w:tcW w:w="1139" w:type="dxa"/>
            <w:vMerge/>
            <w:tcBorders>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right="56"/>
              <w:jc w:val="center"/>
              <w:rPr>
                <w:sz w:val="18"/>
                <w:szCs w:val="20"/>
              </w:rPr>
            </w:pPr>
          </w:p>
        </w:tc>
        <w:tc>
          <w:tcPr>
            <w:tcW w:w="1127" w:type="dxa"/>
            <w:vMerge/>
            <w:tcBorders>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right="56"/>
              <w:jc w:val="center"/>
              <w:rPr>
                <w:sz w:val="18"/>
                <w:szCs w:val="20"/>
              </w:rPr>
            </w:pPr>
          </w:p>
        </w:tc>
        <w:tc>
          <w:tcPr>
            <w:tcW w:w="1143" w:type="dxa"/>
            <w:gridSpan w:val="2"/>
            <w:vMerge/>
            <w:tcBorders>
              <w:left w:val="single" w:sz="4" w:space="0" w:color="auto"/>
              <w:bottom w:val="single" w:sz="4" w:space="0" w:color="auto"/>
              <w:right w:val="single" w:sz="4" w:space="0" w:color="auto"/>
            </w:tcBorders>
          </w:tcPr>
          <w:p w:rsidR="00E651AC" w:rsidRPr="00D50E91" w:rsidRDefault="00E651AC" w:rsidP="00BA45D4">
            <w:pPr>
              <w:rPr>
                <w:sz w:val="18"/>
                <w:szCs w:val="20"/>
              </w:rPr>
            </w:pPr>
          </w:p>
        </w:tc>
      </w:tr>
      <w:tr w:rsidR="00E651AC" w:rsidRPr="00D50E91" w:rsidTr="00BA45D4">
        <w:trPr>
          <w:trHeight w:val="106"/>
        </w:trPr>
        <w:tc>
          <w:tcPr>
            <w:tcW w:w="557" w:type="dxa"/>
            <w:vMerge/>
            <w:tcBorders>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left="56" w:right="56"/>
              <w:jc w:val="center"/>
              <w:rPr>
                <w:sz w:val="18"/>
                <w:szCs w:val="20"/>
              </w:rPr>
            </w:pPr>
          </w:p>
        </w:tc>
        <w:tc>
          <w:tcPr>
            <w:tcW w:w="1419" w:type="dxa"/>
            <w:vMerge/>
            <w:tcBorders>
              <w:left w:val="single" w:sz="4" w:space="0" w:color="auto"/>
              <w:right w:val="single" w:sz="4" w:space="0" w:color="auto"/>
            </w:tcBorders>
          </w:tcPr>
          <w:p w:rsidR="00E651AC" w:rsidRPr="00D50E91" w:rsidRDefault="00E651AC" w:rsidP="00BA45D4">
            <w:pPr>
              <w:autoSpaceDE w:val="0"/>
              <w:autoSpaceDN w:val="0"/>
              <w:adjustRightInd w:val="0"/>
              <w:ind w:left="913" w:right="56"/>
              <w:rPr>
                <w:sz w:val="18"/>
              </w:rPr>
            </w:pPr>
          </w:p>
        </w:tc>
        <w:tc>
          <w:tcPr>
            <w:tcW w:w="3836" w:type="dxa"/>
            <w:vMerge/>
            <w:tcBorders>
              <w:left w:val="single" w:sz="4" w:space="0" w:color="auto"/>
              <w:right w:val="single" w:sz="4" w:space="0" w:color="auto"/>
            </w:tcBorders>
          </w:tcPr>
          <w:p w:rsidR="00E651AC" w:rsidRPr="00D50E91" w:rsidRDefault="00E651AC" w:rsidP="00BA45D4">
            <w:pPr>
              <w:autoSpaceDE w:val="0"/>
              <w:autoSpaceDN w:val="0"/>
              <w:adjustRightInd w:val="0"/>
              <w:ind w:right="56"/>
              <w:jc w:val="both"/>
              <w:rPr>
                <w:sz w:val="18"/>
              </w:rPr>
            </w:pPr>
          </w:p>
        </w:tc>
        <w:tc>
          <w:tcPr>
            <w:tcW w:w="1000"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jc w:val="center"/>
              <w:rPr>
                <w:sz w:val="18"/>
                <w:szCs w:val="20"/>
              </w:rPr>
            </w:pPr>
            <w:r w:rsidRPr="00D50E91">
              <w:rPr>
                <w:sz w:val="18"/>
              </w:rPr>
              <w:t>7</w:t>
            </w:r>
            <w:r w:rsidR="003528A8">
              <w:rPr>
                <w:sz w:val="18"/>
              </w:rPr>
              <w:t>-</w:t>
            </w:r>
            <w:r w:rsidRPr="00D50E91">
              <w:rPr>
                <w:sz w:val="18"/>
              </w:rPr>
              <w:t>10 m</w:t>
            </w:r>
          </w:p>
        </w:tc>
        <w:tc>
          <w:tcPr>
            <w:tcW w:w="692"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jc w:val="center"/>
              <w:rPr>
                <w:sz w:val="18"/>
                <w:szCs w:val="20"/>
              </w:rPr>
            </w:pPr>
            <w:r w:rsidRPr="00D50E91">
              <w:rPr>
                <w:sz w:val="18"/>
                <w:szCs w:val="20"/>
              </w:rPr>
              <w:t>+ 20 m</w:t>
            </w:r>
          </w:p>
        </w:tc>
        <w:tc>
          <w:tcPr>
            <w:tcW w:w="1139"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jc w:val="center"/>
              <w:rPr>
                <w:sz w:val="18"/>
                <w:szCs w:val="20"/>
              </w:rPr>
            </w:pPr>
            <w:r w:rsidRPr="00D50E91">
              <w:rPr>
                <w:sz w:val="18"/>
                <w:szCs w:val="20"/>
              </w:rPr>
              <w:t>+25 m</w:t>
            </w:r>
          </w:p>
        </w:tc>
        <w:tc>
          <w:tcPr>
            <w:tcW w:w="1127"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jc w:val="center"/>
              <w:rPr>
                <w:sz w:val="18"/>
                <w:szCs w:val="20"/>
              </w:rPr>
            </w:pPr>
            <w:r w:rsidRPr="00D50E91">
              <w:rPr>
                <w:sz w:val="18"/>
                <w:szCs w:val="20"/>
              </w:rPr>
              <w:t>+25 m</w:t>
            </w:r>
          </w:p>
        </w:tc>
        <w:tc>
          <w:tcPr>
            <w:tcW w:w="1143" w:type="dxa"/>
            <w:gridSpan w:val="2"/>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jc w:val="center"/>
              <w:rPr>
                <w:sz w:val="18"/>
                <w:szCs w:val="20"/>
              </w:rPr>
            </w:pPr>
            <w:r w:rsidRPr="00D50E91">
              <w:rPr>
                <w:sz w:val="18"/>
                <w:szCs w:val="20"/>
              </w:rPr>
              <w:t>+25 m</w:t>
            </w:r>
          </w:p>
        </w:tc>
      </w:tr>
      <w:tr w:rsidR="00E651AC" w:rsidRPr="00D50E91" w:rsidTr="00BA45D4">
        <w:trPr>
          <w:trHeight w:val="60"/>
        </w:trPr>
        <w:tc>
          <w:tcPr>
            <w:tcW w:w="557" w:type="dxa"/>
            <w:tcBorders>
              <w:top w:val="single" w:sz="4" w:space="0" w:color="auto"/>
              <w:left w:val="single" w:sz="4" w:space="0" w:color="auto"/>
              <w:bottom w:val="single" w:sz="4" w:space="0" w:color="auto"/>
              <w:right w:val="single" w:sz="4" w:space="0" w:color="auto"/>
            </w:tcBorders>
          </w:tcPr>
          <w:p w:rsidR="00E651AC" w:rsidRPr="00D50E91" w:rsidRDefault="00BA45D4" w:rsidP="00BA45D4">
            <w:pPr>
              <w:autoSpaceDE w:val="0"/>
              <w:autoSpaceDN w:val="0"/>
              <w:adjustRightInd w:val="0"/>
              <w:ind w:left="56" w:right="56"/>
              <w:jc w:val="center"/>
              <w:rPr>
                <w:sz w:val="18"/>
                <w:szCs w:val="20"/>
              </w:rPr>
            </w:pPr>
            <w:r w:rsidRPr="00D50E91">
              <w:rPr>
                <w:sz w:val="18"/>
                <w:szCs w:val="20"/>
              </w:rPr>
              <w:t xml:space="preserve"> </w:t>
            </w:r>
            <w:r w:rsidR="00E651AC" w:rsidRPr="00D50E91">
              <w:rPr>
                <w:sz w:val="18"/>
                <w:szCs w:val="20"/>
              </w:rPr>
              <w:t>9</w:t>
            </w:r>
          </w:p>
        </w:tc>
        <w:tc>
          <w:tcPr>
            <w:tcW w:w="1419" w:type="dxa"/>
            <w:vMerge/>
            <w:tcBorders>
              <w:left w:val="single" w:sz="4" w:space="0" w:color="auto"/>
              <w:right w:val="single" w:sz="4" w:space="0" w:color="auto"/>
            </w:tcBorders>
          </w:tcPr>
          <w:p w:rsidR="00E651AC" w:rsidRPr="00D50E91" w:rsidRDefault="00E651AC" w:rsidP="00BA45D4">
            <w:pPr>
              <w:autoSpaceDE w:val="0"/>
              <w:autoSpaceDN w:val="0"/>
              <w:adjustRightInd w:val="0"/>
              <w:ind w:left="913" w:right="56"/>
              <w:rPr>
                <w:sz w:val="18"/>
              </w:rPr>
            </w:pPr>
          </w:p>
        </w:tc>
        <w:tc>
          <w:tcPr>
            <w:tcW w:w="3836" w:type="dxa"/>
            <w:vMerge/>
            <w:tcBorders>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right="56"/>
              <w:jc w:val="both"/>
              <w:rPr>
                <w:sz w:val="18"/>
              </w:rPr>
            </w:pPr>
          </w:p>
        </w:tc>
        <w:tc>
          <w:tcPr>
            <w:tcW w:w="1000"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jc w:val="center"/>
              <w:rPr>
                <w:sz w:val="18"/>
                <w:szCs w:val="20"/>
              </w:rPr>
            </w:pPr>
            <w:r w:rsidRPr="00D50E91">
              <w:rPr>
                <w:sz w:val="18"/>
                <w:szCs w:val="20"/>
              </w:rPr>
              <w:t>&gt;10 m</w:t>
            </w:r>
          </w:p>
        </w:tc>
        <w:tc>
          <w:tcPr>
            <w:tcW w:w="692" w:type="dxa"/>
            <w:tcBorders>
              <w:top w:val="single" w:sz="4" w:space="0" w:color="auto"/>
              <w:left w:val="single" w:sz="4" w:space="0" w:color="auto"/>
              <w:bottom w:val="single" w:sz="4" w:space="0" w:color="auto"/>
              <w:right w:val="single" w:sz="4" w:space="0" w:color="auto"/>
            </w:tcBorders>
          </w:tcPr>
          <w:p w:rsidR="00E651AC" w:rsidRPr="00D50E91" w:rsidDel="001F51D8" w:rsidRDefault="00E651AC" w:rsidP="00BA45D4">
            <w:pPr>
              <w:autoSpaceDE w:val="0"/>
              <w:autoSpaceDN w:val="0"/>
              <w:adjustRightInd w:val="0"/>
              <w:jc w:val="center"/>
              <w:rPr>
                <w:sz w:val="18"/>
                <w:szCs w:val="20"/>
              </w:rPr>
            </w:pPr>
            <w:r w:rsidRPr="00D50E91">
              <w:rPr>
                <w:sz w:val="18"/>
                <w:szCs w:val="20"/>
              </w:rPr>
              <w:t>+25 m</w:t>
            </w:r>
          </w:p>
        </w:tc>
        <w:tc>
          <w:tcPr>
            <w:tcW w:w="1139" w:type="dxa"/>
            <w:tcBorders>
              <w:top w:val="single" w:sz="4" w:space="0" w:color="auto"/>
              <w:left w:val="single" w:sz="4" w:space="0" w:color="auto"/>
              <w:bottom w:val="single" w:sz="4" w:space="0" w:color="auto"/>
              <w:right w:val="single" w:sz="4" w:space="0" w:color="auto"/>
            </w:tcBorders>
          </w:tcPr>
          <w:p w:rsidR="00E651AC" w:rsidRPr="00D50E91" w:rsidDel="001F51D8" w:rsidRDefault="00E651AC" w:rsidP="00BA45D4">
            <w:pPr>
              <w:autoSpaceDE w:val="0"/>
              <w:autoSpaceDN w:val="0"/>
              <w:adjustRightInd w:val="0"/>
              <w:jc w:val="center"/>
              <w:rPr>
                <w:sz w:val="18"/>
                <w:szCs w:val="20"/>
              </w:rPr>
            </w:pPr>
            <w:r w:rsidRPr="00D50E91">
              <w:rPr>
                <w:sz w:val="18"/>
                <w:szCs w:val="20"/>
              </w:rPr>
              <w:t>+30 m</w:t>
            </w:r>
          </w:p>
        </w:tc>
        <w:tc>
          <w:tcPr>
            <w:tcW w:w="1127" w:type="dxa"/>
            <w:tcBorders>
              <w:top w:val="single" w:sz="4" w:space="0" w:color="auto"/>
              <w:left w:val="single" w:sz="4" w:space="0" w:color="auto"/>
              <w:bottom w:val="single" w:sz="4" w:space="0" w:color="auto"/>
              <w:right w:val="single" w:sz="4" w:space="0" w:color="auto"/>
            </w:tcBorders>
          </w:tcPr>
          <w:p w:rsidR="00E651AC" w:rsidRPr="00D50E91" w:rsidDel="001F51D8" w:rsidRDefault="00E651AC" w:rsidP="00BA45D4">
            <w:pPr>
              <w:autoSpaceDE w:val="0"/>
              <w:autoSpaceDN w:val="0"/>
              <w:adjustRightInd w:val="0"/>
              <w:jc w:val="center"/>
              <w:rPr>
                <w:sz w:val="18"/>
                <w:szCs w:val="20"/>
              </w:rPr>
            </w:pPr>
            <w:r w:rsidRPr="00D50E91">
              <w:rPr>
                <w:sz w:val="18"/>
                <w:szCs w:val="20"/>
              </w:rPr>
              <w:t>+30 m</w:t>
            </w:r>
          </w:p>
        </w:tc>
        <w:tc>
          <w:tcPr>
            <w:tcW w:w="1143" w:type="dxa"/>
            <w:gridSpan w:val="2"/>
            <w:tcBorders>
              <w:top w:val="single" w:sz="4" w:space="0" w:color="auto"/>
              <w:left w:val="single" w:sz="4" w:space="0" w:color="auto"/>
              <w:bottom w:val="single" w:sz="4" w:space="0" w:color="auto"/>
              <w:right w:val="single" w:sz="4" w:space="0" w:color="auto"/>
            </w:tcBorders>
          </w:tcPr>
          <w:p w:rsidR="00E651AC" w:rsidRPr="00D50E91" w:rsidDel="001F51D8" w:rsidRDefault="00E651AC" w:rsidP="00BA45D4">
            <w:pPr>
              <w:autoSpaceDE w:val="0"/>
              <w:autoSpaceDN w:val="0"/>
              <w:adjustRightInd w:val="0"/>
              <w:jc w:val="center"/>
              <w:rPr>
                <w:sz w:val="18"/>
                <w:szCs w:val="20"/>
              </w:rPr>
            </w:pPr>
            <w:r w:rsidRPr="00D50E91">
              <w:rPr>
                <w:sz w:val="18"/>
                <w:szCs w:val="20"/>
              </w:rPr>
              <w:t>+30 m</w:t>
            </w:r>
          </w:p>
        </w:tc>
      </w:tr>
      <w:tr w:rsidR="00E651AC" w:rsidRPr="00D50E91" w:rsidTr="00BA45D4">
        <w:trPr>
          <w:trHeight w:val="375"/>
        </w:trPr>
        <w:tc>
          <w:tcPr>
            <w:tcW w:w="557" w:type="dxa"/>
            <w:vMerge w:val="restart"/>
            <w:tcBorders>
              <w:top w:val="single" w:sz="4" w:space="0" w:color="auto"/>
              <w:left w:val="single" w:sz="4" w:space="0" w:color="auto"/>
              <w:right w:val="single" w:sz="4" w:space="0" w:color="auto"/>
            </w:tcBorders>
          </w:tcPr>
          <w:p w:rsidR="00E651AC" w:rsidRPr="00D50E91" w:rsidRDefault="00BA45D4" w:rsidP="00BA45D4">
            <w:pPr>
              <w:autoSpaceDE w:val="0"/>
              <w:autoSpaceDN w:val="0"/>
              <w:adjustRightInd w:val="0"/>
              <w:ind w:left="56" w:right="56"/>
              <w:jc w:val="center"/>
              <w:rPr>
                <w:sz w:val="18"/>
                <w:szCs w:val="20"/>
              </w:rPr>
            </w:pPr>
            <w:r w:rsidRPr="00D50E91">
              <w:rPr>
                <w:sz w:val="18"/>
                <w:szCs w:val="20"/>
              </w:rPr>
              <w:t xml:space="preserve"> </w:t>
            </w:r>
            <w:r w:rsidR="00E651AC" w:rsidRPr="00D50E91">
              <w:rPr>
                <w:sz w:val="18"/>
                <w:szCs w:val="20"/>
              </w:rPr>
              <w:t>10</w:t>
            </w:r>
          </w:p>
        </w:tc>
        <w:tc>
          <w:tcPr>
            <w:tcW w:w="1419" w:type="dxa"/>
            <w:vMerge/>
            <w:tcBorders>
              <w:left w:val="single" w:sz="4" w:space="0" w:color="auto"/>
              <w:right w:val="single" w:sz="4" w:space="0" w:color="auto"/>
            </w:tcBorders>
          </w:tcPr>
          <w:p w:rsidR="00E651AC" w:rsidRPr="00D50E91" w:rsidRDefault="00E651AC" w:rsidP="00BA45D4">
            <w:pPr>
              <w:autoSpaceDE w:val="0"/>
              <w:autoSpaceDN w:val="0"/>
              <w:adjustRightInd w:val="0"/>
              <w:ind w:left="913" w:right="56"/>
              <w:rPr>
                <w:sz w:val="18"/>
              </w:rPr>
            </w:pPr>
          </w:p>
        </w:tc>
        <w:tc>
          <w:tcPr>
            <w:tcW w:w="3836" w:type="dxa"/>
            <w:vMerge w:val="restart"/>
            <w:tcBorders>
              <w:top w:val="single" w:sz="4" w:space="0" w:color="auto"/>
              <w:left w:val="single" w:sz="4" w:space="0" w:color="auto"/>
              <w:right w:val="single" w:sz="4" w:space="0" w:color="auto"/>
            </w:tcBorders>
          </w:tcPr>
          <w:p w:rsidR="00E651AC" w:rsidRPr="00D50E91" w:rsidRDefault="00E651AC" w:rsidP="00462DFB">
            <w:pPr>
              <w:autoSpaceDE w:val="0"/>
              <w:autoSpaceDN w:val="0"/>
              <w:adjustRightInd w:val="0"/>
              <w:ind w:right="56"/>
              <w:jc w:val="both"/>
              <w:rPr>
                <w:sz w:val="18"/>
              </w:rPr>
            </w:pPr>
            <w:r w:rsidRPr="00D50E91">
              <w:rPr>
                <w:sz w:val="18"/>
              </w:rPr>
              <w:t>ipari, mezőgazdasági, tárolási alaprendeltetés esetén, tűzjelző és tűzoltó berendezéssel és hő</w:t>
            </w:r>
            <w:r w:rsidR="003528A8">
              <w:rPr>
                <w:sz w:val="18"/>
              </w:rPr>
              <w:t>-</w:t>
            </w:r>
            <w:r w:rsidRPr="00D50E91">
              <w:rPr>
                <w:sz w:val="18"/>
              </w:rPr>
              <w:t xml:space="preserve"> és füstelvezetéssel ellátott térben, ha a helyiség alapterülete meghaladja a 10</w:t>
            </w:r>
            <w:r w:rsidR="00462DFB" w:rsidRPr="00D50E91">
              <w:rPr>
                <w:sz w:val="18"/>
              </w:rPr>
              <w:t> </w:t>
            </w:r>
            <w:r w:rsidRPr="00D50E91">
              <w:rPr>
                <w:sz w:val="18"/>
              </w:rPr>
              <w:t>000</w:t>
            </w:r>
            <w:r w:rsidR="00462DFB" w:rsidRPr="00D50E91">
              <w:rPr>
                <w:sz w:val="18"/>
              </w:rPr>
              <w:t xml:space="preserve"> </w:t>
            </w:r>
            <w:r w:rsidRPr="00D50E91">
              <w:rPr>
                <w:sz w:val="18"/>
              </w:rPr>
              <w:t>m</w:t>
            </w:r>
            <w:r w:rsidRPr="00D50E91">
              <w:rPr>
                <w:sz w:val="18"/>
                <w:vertAlign w:val="superscript"/>
              </w:rPr>
              <w:t>2</w:t>
            </w:r>
            <w:r w:rsidR="003528A8">
              <w:rPr>
                <w:sz w:val="18"/>
              </w:rPr>
              <w:t>-</w:t>
            </w:r>
            <w:r w:rsidRPr="00D50E91">
              <w:rPr>
                <w:sz w:val="18"/>
              </w:rPr>
              <w:t>t, és a kiürítési útvonalon biztonsági világítás és menekülési jelek létesülnek</w:t>
            </w:r>
          </w:p>
        </w:tc>
        <w:tc>
          <w:tcPr>
            <w:tcW w:w="1000"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jc w:val="center"/>
              <w:rPr>
                <w:sz w:val="18"/>
                <w:szCs w:val="20"/>
              </w:rPr>
            </w:pPr>
            <w:r w:rsidRPr="00D50E91">
              <w:rPr>
                <w:sz w:val="18"/>
                <w:szCs w:val="20"/>
              </w:rPr>
              <w:t>4</w:t>
            </w:r>
            <w:r w:rsidR="003528A8">
              <w:rPr>
                <w:sz w:val="18"/>
                <w:szCs w:val="20"/>
              </w:rPr>
              <w:t>-</w:t>
            </w:r>
            <w:r w:rsidRPr="00D50E91">
              <w:rPr>
                <w:sz w:val="18"/>
                <w:szCs w:val="20"/>
              </w:rPr>
              <w:t>7 m</w:t>
            </w:r>
          </w:p>
        </w:tc>
        <w:tc>
          <w:tcPr>
            <w:tcW w:w="692"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jc w:val="center"/>
              <w:rPr>
                <w:sz w:val="18"/>
                <w:szCs w:val="20"/>
              </w:rPr>
            </w:pPr>
            <w:r w:rsidRPr="00D50E91">
              <w:rPr>
                <w:sz w:val="18"/>
                <w:szCs w:val="20"/>
              </w:rPr>
              <w:t>+ 20 m</w:t>
            </w:r>
          </w:p>
        </w:tc>
        <w:tc>
          <w:tcPr>
            <w:tcW w:w="1139"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jc w:val="center"/>
              <w:rPr>
                <w:sz w:val="18"/>
                <w:szCs w:val="20"/>
              </w:rPr>
            </w:pPr>
            <w:r w:rsidRPr="00D50E91">
              <w:rPr>
                <w:sz w:val="18"/>
                <w:szCs w:val="20"/>
              </w:rPr>
              <w:t>+25 m</w:t>
            </w:r>
          </w:p>
        </w:tc>
        <w:tc>
          <w:tcPr>
            <w:tcW w:w="1127"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jc w:val="center"/>
              <w:rPr>
                <w:sz w:val="18"/>
                <w:szCs w:val="20"/>
              </w:rPr>
            </w:pPr>
            <w:r w:rsidRPr="00D50E91">
              <w:rPr>
                <w:sz w:val="18"/>
                <w:szCs w:val="20"/>
              </w:rPr>
              <w:t>+25 m</w:t>
            </w:r>
          </w:p>
        </w:tc>
        <w:tc>
          <w:tcPr>
            <w:tcW w:w="1143" w:type="dxa"/>
            <w:gridSpan w:val="2"/>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jc w:val="center"/>
              <w:rPr>
                <w:sz w:val="18"/>
                <w:szCs w:val="20"/>
              </w:rPr>
            </w:pPr>
            <w:r w:rsidRPr="00D50E91">
              <w:rPr>
                <w:sz w:val="18"/>
                <w:szCs w:val="20"/>
              </w:rPr>
              <w:t>+25 m</w:t>
            </w:r>
          </w:p>
        </w:tc>
      </w:tr>
      <w:tr w:rsidR="00E651AC" w:rsidRPr="00D50E91" w:rsidTr="00BA45D4">
        <w:trPr>
          <w:trHeight w:val="230"/>
        </w:trPr>
        <w:tc>
          <w:tcPr>
            <w:tcW w:w="557" w:type="dxa"/>
            <w:vMerge/>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left="56" w:right="56"/>
              <w:jc w:val="center"/>
              <w:rPr>
                <w:sz w:val="18"/>
                <w:szCs w:val="20"/>
              </w:rPr>
            </w:pPr>
          </w:p>
        </w:tc>
        <w:tc>
          <w:tcPr>
            <w:tcW w:w="1419" w:type="dxa"/>
            <w:vMerge/>
            <w:tcBorders>
              <w:left w:val="single" w:sz="4" w:space="0" w:color="auto"/>
              <w:right w:val="single" w:sz="4" w:space="0" w:color="auto"/>
            </w:tcBorders>
          </w:tcPr>
          <w:p w:rsidR="00E651AC" w:rsidRPr="00D50E91" w:rsidRDefault="00E651AC" w:rsidP="00BA45D4">
            <w:pPr>
              <w:autoSpaceDE w:val="0"/>
              <w:autoSpaceDN w:val="0"/>
              <w:adjustRightInd w:val="0"/>
              <w:ind w:left="913" w:right="56"/>
              <w:rPr>
                <w:sz w:val="18"/>
              </w:rPr>
            </w:pPr>
          </w:p>
        </w:tc>
        <w:tc>
          <w:tcPr>
            <w:tcW w:w="3836" w:type="dxa"/>
            <w:vMerge/>
            <w:tcBorders>
              <w:left w:val="single" w:sz="4" w:space="0" w:color="auto"/>
              <w:right w:val="single" w:sz="4" w:space="0" w:color="auto"/>
            </w:tcBorders>
          </w:tcPr>
          <w:p w:rsidR="00E651AC" w:rsidRPr="00D50E91" w:rsidRDefault="00E651AC" w:rsidP="00BA45D4">
            <w:pPr>
              <w:autoSpaceDE w:val="0"/>
              <w:autoSpaceDN w:val="0"/>
              <w:adjustRightInd w:val="0"/>
              <w:ind w:right="56"/>
              <w:jc w:val="both"/>
              <w:rPr>
                <w:sz w:val="18"/>
              </w:rPr>
            </w:pPr>
          </w:p>
        </w:tc>
        <w:tc>
          <w:tcPr>
            <w:tcW w:w="1000" w:type="dxa"/>
            <w:vMerge w:val="restart"/>
            <w:tcBorders>
              <w:top w:val="single" w:sz="4" w:space="0" w:color="auto"/>
              <w:left w:val="single" w:sz="4" w:space="0" w:color="auto"/>
              <w:right w:val="single" w:sz="4" w:space="0" w:color="auto"/>
            </w:tcBorders>
          </w:tcPr>
          <w:p w:rsidR="00E651AC" w:rsidRPr="00D50E91" w:rsidRDefault="00E651AC" w:rsidP="00BA45D4">
            <w:pPr>
              <w:autoSpaceDE w:val="0"/>
              <w:autoSpaceDN w:val="0"/>
              <w:adjustRightInd w:val="0"/>
              <w:jc w:val="center"/>
              <w:rPr>
                <w:sz w:val="18"/>
                <w:szCs w:val="20"/>
              </w:rPr>
            </w:pPr>
            <w:r w:rsidRPr="00D50E91">
              <w:rPr>
                <w:sz w:val="18"/>
              </w:rPr>
              <w:t>7</w:t>
            </w:r>
            <w:r w:rsidR="003528A8">
              <w:rPr>
                <w:sz w:val="18"/>
              </w:rPr>
              <w:t>-</w:t>
            </w:r>
            <w:r w:rsidRPr="00D50E91">
              <w:rPr>
                <w:sz w:val="18"/>
              </w:rPr>
              <w:t>10 m</w:t>
            </w:r>
          </w:p>
        </w:tc>
        <w:tc>
          <w:tcPr>
            <w:tcW w:w="692" w:type="dxa"/>
            <w:vMerge w:val="restart"/>
            <w:tcBorders>
              <w:top w:val="single" w:sz="4" w:space="0" w:color="auto"/>
              <w:left w:val="single" w:sz="4" w:space="0" w:color="auto"/>
              <w:right w:val="single" w:sz="4" w:space="0" w:color="auto"/>
            </w:tcBorders>
          </w:tcPr>
          <w:p w:rsidR="00E651AC" w:rsidRPr="00D50E91" w:rsidRDefault="00E651AC" w:rsidP="00BA45D4">
            <w:pPr>
              <w:autoSpaceDE w:val="0"/>
              <w:autoSpaceDN w:val="0"/>
              <w:adjustRightInd w:val="0"/>
              <w:jc w:val="center"/>
              <w:rPr>
                <w:sz w:val="18"/>
                <w:szCs w:val="20"/>
              </w:rPr>
            </w:pPr>
            <w:r w:rsidRPr="00D50E91">
              <w:rPr>
                <w:sz w:val="18"/>
                <w:szCs w:val="20"/>
              </w:rPr>
              <w:t>+30 m</w:t>
            </w:r>
          </w:p>
        </w:tc>
        <w:tc>
          <w:tcPr>
            <w:tcW w:w="1139" w:type="dxa"/>
            <w:vMerge w:val="restart"/>
            <w:tcBorders>
              <w:top w:val="single" w:sz="4" w:space="0" w:color="auto"/>
              <w:left w:val="single" w:sz="4" w:space="0" w:color="auto"/>
              <w:right w:val="single" w:sz="4" w:space="0" w:color="auto"/>
            </w:tcBorders>
          </w:tcPr>
          <w:p w:rsidR="00E651AC" w:rsidRPr="00D50E91" w:rsidRDefault="00E651AC" w:rsidP="00BA45D4">
            <w:pPr>
              <w:autoSpaceDE w:val="0"/>
              <w:autoSpaceDN w:val="0"/>
              <w:adjustRightInd w:val="0"/>
              <w:jc w:val="center"/>
              <w:rPr>
                <w:sz w:val="18"/>
                <w:szCs w:val="20"/>
              </w:rPr>
            </w:pPr>
            <w:r w:rsidRPr="00D50E91">
              <w:rPr>
                <w:sz w:val="18"/>
                <w:szCs w:val="20"/>
              </w:rPr>
              <w:t>+35 m</w:t>
            </w:r>
          </w:p>
        </w:tc>
        <w:tc>
          <w:tcPr>
            <w:tcW w:w="1127" w:type="dxa"/>
            <w:vMerge w:val="restart"/>
            <w:tcBorders>
              <w:top w:val="single" w:sz="4" w:space="0" w:color="auto"/>
              <w:left w:val="single" w:sz="4" w:space="0" w:color="auto"/>
              <w:right w:val="single" w:sz="4" w:space="0" w:color="auto"/>
            </w:tcBorders>
          </w:tcPr>
          <w:p w:rsidR="00E651AC" w:rsidRPr="00D50E91" w:rsidRDefault="00E651AC" w:rsidP="00BA45D4">
            <w:pPr>
              <w:autoSpaceDE w:val="0"/>
              <w:autoSpaceDN w:val="0"/>
              <w:adjustRightInd w:val="0"/>
              <w:jc w:val="center"/>
              <w:rPr>
                <w:sz w:val="18"/>
                <w:szCs w:val="20"/>
              </w:rPr>
            </w:pPr>
            <w:r w:rsidRPr="00D50E91">
              <w:rPr>
                <w:sz w:val="18"/>
                <w:szCs w:val="20"/>
              </w:rPr>
              <w:t>+35 m</w:t>
            </w:r>
          </w:p>
        </w:tc>
        <w:tc>
          <w:tcPr>
            <w:tcW w:w="1143" w:type="dxa"/>
            <w:gridSpan w:val="2"/>
            <w:vMerge w:val="restart"/>
            <w:tcBorders>
              <w:top w:val="single" w:sz="4" w:space="0" w:color="auto"/>
              <w:left w:val="single" w:sz="4" w:space="0" w:color="auto"/>
              <w:right w:val="single" w:sz="4" w:space="0" w:color="auto"/>
            </w:tcBorders>
          </w:tcPr>
          <w:p w:rsidR="00E651AC" w:rsidRPr="00D50E91" w:rsidRDefault="00E651AC" w:rsidP="00BA45D4">
            <w:pPr>
              <w:jc w:val="center"/>
              <w:rPr>
                <w:sz w:val="18"/>
                <w:szCs w:val="20"/>
              </w:rPr>
            </w:pPr>
            <w:r w:rsidRPr="00D50E91">
              <w:rPr>
                <w:sz w:val="18"/>
                <w:szCs w:val="20"/>
              </w:rPr>
              <w:t>+35 m</w:t>
            </w:r>
          </w:p>
        </w:tc>
      </w:tr>
      <w:tr w:rsidR="00E651AC" w:rsidRPr="00D50E91" w:rsidTr="00BA45D4">
        <w:trPr>
          <w:trHeight w:val="251"/>
        </w:trPr>
        <w:tc>
          <w:tcPr>
            <w:tcW w:w="557" w:type="dxa"/>
            <w:tcBorders>
              <w:top w:val="single" w:sz="4" w:space="0" w:color="auto"/>
              <w:left w:val="single" w:sz="4" w:space="0" w:color="auto"/>
              <w:bottom w:val="single" w:sz="4" w:space="0" w:color="auto"/>
              <w:right w:val="single" w:sz="4" w:space="0" w:color="auto"/>
            </w:tcBorders>
          </w:tcPr>
          <w:p w:rsidR="00E651AC" w:rsidRPr="00D50E91" w:rsidRDefault="00BA45D4" w:rsidP="00BA45D4">
            <w:pPr>
              <w:autoSpaceDE w:val="0"/>
              <w:autoSpaceDN w:val="0"/>
              <w:adjustRightInd w:val="0"/>
              <w:ind w:left="56" w:right="56"/>
              <w:jc w:val="center"/>
              <w:rPr>
                <w:sz w:val="18"/>
                <w:szCs w:val="20"/>
              </w:rPr>
            </w:pPr>
            <w:r w:rsidRPr="00D50E91">
              <w:rPr>
                <w:sz w:val="18"/>
                <w:szCs w:val="20"/>
              </w:rPr>
              <w:t xml:space="preserve"> </w:t>
            </w:r>
            <w:r w:rsidR="00E651AC" w:rsidRPr="00D50E91">
              <w:rPr>
                <w:sz w:val="18"/>
                <w:szCs w:val="20"/>
              </w:rPr>
              <w:t>11</w:t>
            </w:r>
          </w:p>
        </w:tc>
        <w:tc>
          <w:tcPr>
            <w:tcW w:w="1419" w:type="dxa"/>
            <w:vMerge/>
            <w:tcBorders>
              <w:left w:val="single" w:sz="4" w:space="0" w:color="auto"/>
              <w:right w:val="single" w:sz="4" w:space="0" w:color="auto"/>
            </w:tcBorders>
          </w:tcPr>
          <w:p w:rsidR="00E651AC" w:rsidRPr="00D50E91" w:rsidRDefault="00E651AC" w:rsidP="00BA45D4">
            <w:pPr>
              <w:autoSpaceDE w:val="0"/>
              <w:autoSpaceDN w:val="0"/>
              <w:adjustRightInd w:val="0"/>
              <w:ind w:left="913" w:right="56"/>
              <w:rPr>
                <w:sz w:val="18"/>
              </w:rPr>
            </w:pPr>
          </w:p>
        </w:tc>
        <w:tc>
          <w:tcPr>
            <w:tcW w:w="3836" w:type="dxa"/>
            <w:vMerge/>
            <w:tcBorders>
              <w:left w:val="single" w:sz="4" w:space="0" w:color="auto"/>
              <w:right w:val="single" w:sz="4" w:space="0" w:color="auto"/>
            </w:tcBorders>
          </w:tcPr>
          <w:p w:rsidR="00E651AC" w:rsidRPr="00D50E91" w:rsidRDefault="00E651AC" w:rsidP="00BA45D4">
            <w:pPr>
              <w:autoSpaceDE w:val="0"/>
              <w:autoSpaceDN w:val="0"/>
              <w:adjustRightInd w:val="0"/>
              <w:ind w:right="56"/>
              <w:jc w:val="both"/>
              <w:rPr>
                <w:sz w:val="18"/>
              </w:rPr>
            </w:pPr>
          </w:p>
        </w:tc>
        <w:tc>
          <w:tcPr>
            <w:tcW w:w="1000" w:type="dxa"/>
            <w:vMerge/>
            <w:tcBorders>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jc w:val="center"/>
              <w:rPr>
                <w:sz w:val="18"/>
              </w:rPr>
            </w:pPr>
          </w:p>
        </w:tc>
        <w:tc>
          <w:tcPr>
            <w:tcW w:w="692" w:type="dxa"/>
            <w:vMerge/>
            <w:tcBorders>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right="56"/>
              <w:jc w:val="center"/>
              <w:rPr>
                <w:sz w:val="18"/>
                <w:szCs w:val="20"/>
              </w:rPr>
            </w:pPr>
          </w:p>
        </w:tc>
        <w:tc>
          <w:tcPr>
            <w:tcW w:w="1139" w:type="dxa"/>
            <w:vMerge/>
            <w:tcBorders>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right="56"/>
              <w:jc w:val="center"/>
              <w:rPr>
                <w:sz w:val="18"/>
                <w:szCs w:val="20"/>
              </w:rPr>
            </w:pPr>
          </w:p>
        </w:tc>
        <w:tc>
          <w:tcPr>
            <w:tcW w:w="1127" w:type="dxa"/>
            <w:vMerge/>
            <w:tcBorders>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right="56"/>
              <w:jc w:val="center"/>
              <w:rPr>
                <w:sz w:val="18"/>
                <w:szCs w:val="20"/>
              </w:rPr>
            </w:pPr>
          </w:p>
        </w:tc>
        <w:tc>
          <w:tcPr>
            <w:tcW w:w="1143" w:type="dxa"/>
            <w:gridSpan w:val="2"/>
            <w:vMerge/>
            <w:tcBorders>
              <w:left w:val="single" w:sz="4" w:space="0" w:color="auto"/>
              <w:bottom w:val="single" w:sz="4" w:space="0" w:color="auto"/>
              <w:right w:val="single" w:sz="4" w:space="0" w:color="auto"/>
            </w:tcBorders>
          </w:tcPr>
          <w:p w:rsidR="00E651AC" w:rsidRPr="00D50E91" w:rsidRDefault="00E651AC" w:rsidP="00BA45D4">
            <w:pPr>
              <w:rPr>
                <w:sz w:val="18"/>
                <w:szCs w:val="20"/>
              </w:rPr>
            </w:pPr>
          </w:p>
        </w:tc>
      </w:tr>
      <w:tr w:rsidR="00E651AC" w:rsidRPr="00D50E91" w:rsidTr="00BA45D4">
        <w:trPr>
          <w:trHeight w:val="347"/>
        </w:trPr>
        <w:tc>
          <w:tcPr>
            <w:tcW w:w="557" w:type="dxa"/>
            <w:tcBorders>
              <w:top w:val="single" w:sz="4" w:space="0" w:color="auto"/>
              <w:left w:val="single" w:sz="4" w:space="0" w:color="auto"/>
              <w:bottom w:val="single" w:sz="4" w:space="0" w:color="auto"/>
              <w:right w:val="single" w:sz="4" w:space="0" w:color="auto"/>
            </w:tcBorders>
          </w:tcPr>
          <w:p w:rsidR="00E651AC" w:rsidRPr="00D50E91" w:rsidRDefault="00BA45D4" w:rsidP="00BA45D4">
            <w:pPr>
              <w:autoSpaceDE w:val="0"/>
              <w:autoSpaceDN w:val="0"/>
              <w:adjustRightInd w:val="0"/>
              <w:ind w:left="56" w:right="56"/>
              <w:jc w:val="center"/>
              <w:rPr>
                <w:sz w:val="18"/>
                <w:szCs w:val="20"/>
              </w:rPr>
            </w:pPr>
            <w:r w:rsidRPr="00D50E91">
              <w:rPr>
                <w:sz w:val="18"/>
                <w:szCs w:val="20"/>
              </w:rPr>
              <w:t xml:space="preserve"> </w:t>
            </w:r>
            <w:r w:rsidR="00E651AC" w:rsidRPr="00D50E91">
              <w:rPr>
                <w:sz w:val="18"/>
                <w:szCs w:val="20"/>
              </w:rPr>
              <w:t>12</w:t>
            </w:r>
          </w:p>
        </w:tc>
        <w:tc>
          <w:tcPr>
            <w:tcW w:w="1419" w:type="dxa"/>
            <w:vMerge/>
            <w:tcBorders>
              <w:left w:val="single" w:sz="4" w:space="0" w:color="auto"/>
              <w:right w:val="single" w:sz="4" w:space="0" w:color="auto"/>
            </w:tcBorders>
          </w:tcPr>
          <w:p w:rsidR="00E651AC" w:rsidRPr="00D50E91" w:rsidRDefault="00E651AC" w:rsidP="00BA45D4">
            <w:pPr>
              <w:autoSpaceDE w:val="0"/>
              <w:autoSpaceDN w:val="0"/>
              <w:adjustRightInd w:val="0"/>
              <w:ind w:left="913" w:right="56"/>
              <w:rPr>
                <w:sz w:val="18"/>
              </w:rPr>
            </w:pPr>
          </w:p>
        </w:tc>
        <w:tc>
          <w:tcPr>
            <w:tcW w:w="3836" w:type="dxa"/>
            <w:vMerge/>
            <w:tcBorders>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right="56"/>
              <w:jc w:val="both"/>
              <w:rPr>
                <w:sz w:val="18"/>
              </w:rPr>
            </w:pPr>
          </w:p>
        </w:tc>
        <w:tc>
          <w:tcPr>
            <w:tcW w:w="1000"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jc w:val="center"/>
              <w:rPr>
                <w:sz w:val="18"/>
                <w:szCs w:val="20"/>
              </w:rPr>
            </w:pPr>
            <w:r w:rsidRPr="00D50E91">
              <w:rPr>
                <w:sz w:val="18"/>
                <w:szCs w:val="20"/>
              </w:rPr>
              <w:t>&gt;10 m</w:t>
            </w:r>
          </w:p>
        </w:tc>
        <w:tc>
          <w:tcPr>
            <w:tcW w:w="692"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jc w:val="center"/>
              <w:rPr>
                <w:sz w:val="18"/>
                <w:szCs w:val="20"/>
              </w:rPr>
            </w:pPr>
            <w:r w:rsidRPr="00D50E91">
              <w:rPr>
                <w:sz w:val="18"/>
                <w:szCs w:val="20"/>
              </w:rPr>
              <w:t>+40 m</w:t>
            </w:r>
          </w:p>
        </w:tc>
        <w:tc>
          <w:tcPr>
            <w:tcW w:w="1139"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jc w:val="center"/>
              <w:rPr>
                <w:sz w:val="18"/>
                <w:szCs w:val="20"/>
              </w:rPr>
            </w:pPr>
            <w:r w:rsidRPr="00D50E91">
              <w:rPr>
                <w:sz w:val="18"/>
                <w:szCs w:val="20"/>
              </w:rPr>
              <w:t>+45 m</w:t>
            </w:r>
          </w:p>
        </w:tc>
        <w:tc>
          <w:tcPr>
            <w:tcW w:w="1127"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jc w:val="center"/>
              <w:rPr>
                <w:sz w:val="18"/>
                <w:szCs w:val="20"/>
              </w:rPr>
            </w:pPr>
            <w:r w:rsidRPr="00D50E91">
              <w:rPr>
                <w:sz w:val="18"/>
                <w:szCs w:val="20"/>
              </w:rPr>
              <w:t>+45 m</w:t>
            </w:r>
          </w:p>
        </w:tc>
        <w:tc>
          <w:tcPr>
            <w:tcW w:w="1143" w:type="dxa"/>
            <w:gridSpan w:val="2"/>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jc w:val="center"/>
              <w:rPr>
                <w:sz w:val="18"/>
                <w:szCs w:val="20"/>
              </w:rPr>
            </w:pPr>
            <w:r w:rsidRPr="00D50E91">
              <w:rPr>
                <w:sz w:val="18"/>
                <w:szCs w:val="20"/>
              </w:rPr>
              <w:t>+45 m</w:t>
            </w:r>
          </w:p>
        </w:tc>
      </w:tr>
      <w:tr w:rsidR="00E651AC" w:rsidRPr="00D50E91" w:rsidTr="00BA45D4">
        <w:trPr>
          <w:trHeight w:val="550"/>
        </w:trPr>
        <w:tc>
          <w:tcPr>
            <w:tcW w:w="557" w:type="dxa"/>
            <w:tcBorders>
              <w:top w:val="single" w:sz="4" w:space="0" w:color="auto"/>
              <w:left w:val="single" w:sz="4" w:space="0" w:color="auto"/>
              <w:bottom w:val="single" w:sz="4" w:space="0" w:color="auto"/>
              <w:right w:val="single" w:sz="4" w:space="0" w:color="auto"/>
            </w:tcBorders>
          </w:tcPr>
          <w:p w:rsidR="00E651AC" w:rsidRPr="00D50E91" w:rsidRDefault="00BA45D4" w:rsidP="00BA45D4">
            <w:pPr>
              <w:autoSpaceDE w:val="0"/>
              <w:autoSpaceDN w:val="0"/>
              <w:adjustRightInd w:val="0"/>
              <w:ind w:left="56" w:right="56"/>
              <w:jc w:val="center"/>
              <w:rPr>
                <w:sz w:val="18"/>
                <w:szCs w:val="20"/>
              </w:rPr>
            </w:pPr>
            <w:r w:rsidRPr="00D50E91">
              <w:rPr>
                <w:sz w:val="18"/>
                <w:szCs w:val="20"/>
              </w:rPr>
              <w:t xml:space="preserve"> </w:t>
            </w:r>
            <w:r w:rsidR="00E651AC" w:rsidRPr="00D50E91">
              <w:rPr>
                <w:sz w:val="18"/>
                <w:szCs w:val="20"/>
              </w:rPr>
              <w:t>13</w:t>
            </w:r>
          </w:p>
        </w:tc>
        <w:tc>
          <w:tcPr>
            <w:tcW w:w="1419" w:type="dxa"/>
            <w:vMerge/>
            <w:tcBorders>
              <w:left w:val="single" w:sz="4" w:space="0" w:color="auto"/>
              <w:right w:val="single" w:sz="4" w:space="0" w:color="auto"/>
            </w:tcBorders>
          </w:tcPr>
          <w:p w:rsidR="00E651AC" w:rsidRPr="00D50E91" w:rsidRDefault="00E651AC" w:rsidP="00BA45D4">
            <w:pPr>
              <w:autoSpaceDE w:val="0"/>
              <w:autoSpaceDN w:val="0"/>
              <w:adjustRightInd w:val="0"/>
              <w:ind w:left="913" w:right="56"/>
              <w:rPr>
                <w:sz w:val="18"/>
              </w:rPr>
            </w:pPr>
          </w:p>
        </w:tc>
        <w:tc>
          <w:tcPr>
            <w:tcW w:w="3836" w:type="dxa"/>
            <w:vMerge w:val="restart"/>
            <w:tcBorders>
              <w:top w:val="single" w:sz="4" w:space="0" w:color="auto"/>
              <w:left w:val="single" w:sz="4" w:space="0" w:color="auto"/>
              <w:right w:val="single" w:sz="4" w:space="0" w:color="auto"/>
            </w:tcBorders>
          </w:tcPr>
          <w:p w:rsidR="00E651AC" w:rsidRPr="00D50E91" w:rsidRDefault="00E651AC" w:rsidP="00BA45D4">
            <w:pPr>
              <w:autoSpaceDE w:val="0"/>
              <w:autoSpaceDN w:val="0"/>
              <w:adjustRightInd w:val="0"/>
              <w:ind w:right="56"/>
              <w:jc w:val="both"/>
              <w:rPr>
                <w:sz w:val="18"/>
              </w:rPr>
            </w:pPr>
            <w:r w:rsidRPr="00D50E91">
              <w:rPr>
                <w:sz w:val="18"/>
              </w:rPr>
              <w:t>ha kétirányú kiürítés biztosított és azon belül a közös útvonal hosszúsága nem haladja meg a teljes hosszúság 15 %</w:t>
            </w:r>
            <w:r w:rsidR="003528A8">
              <w:rPr>
                <w:sz w:val="18"/>
              </w:rPr>
              <w:t>-</w:t>
            </w:r>
            <w:r w:rsidRPr="00D50E91">
              <w:rPr>
                <w:sz w:val="18"/>
              </w:rPr>
              <w:t>át, és a kiürítési útvonalon biztonsági világítás és menekülési jelek létesülnek</w:t>
            </w:r>
          </w:p>
        </w:tc>
        <w:tc>
          <w:tcPr>
            <w:tcW w:w="1000"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jc w:val="center"/>
              <w:rPr>
                <w:sz w:val="18"/>
                <w:szCs w:val="20"/>
              </w:rPr>
            </w:pPr>
            <w:r w:rsidRPr="00D50E91">
              <w:rPr>
                <w:sz w:val="18"/>
                <w:szCs w:val="20"/>
              </w:rPr>
              <w:t>4</w:t>
            </w:r>
            <w:r w:rsidR="003528A8">
              <w:rPr>
                <w:sz w:val="18"/>
                <w:szCs w:val="20"/>
              </w:rPr>
              <w:t>-</w:t>
            </w:r>
            <w:r w:rsidRPr="00D50E91">
              <w:rPr>
                <w:sz w:val="18"/>
                <w:szCs w:val="20"/>
              </w:rPr>
              <w:t>10 m</w:t>
            </w:r>
          </w:p>
        </w:tc>
        <w:tc>
          <w:tcPr>
            <w:tcW w:w="692"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jc w:val="center"/>
              <w:rPr>
                <w:sz w:val="18"/>
                <w:szCs w:val="20"/>
              </w:rPr>
            </w:pPr>
            <w:r w:rsidRPr="00D50E91">
              <w:rPr>
                <w:sz w:val="18"/>
                <w:szCs w:val="20"/>
              </w:rPr>
              <w:t>+ 15 m</w:t>
            </w:r>
          </w:p>
        </w:tc>
        <w:tc>
          <w:tcPr>
            <w:tcW w:w="1139"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jc w:val="center"/>
              <w:rPr>
                <w:sz w:val="18"/>
                <w:szCs w:val="20"/>
              </w:rPr>
            </w:pPr>
            <w:r w:rsidRPr="00D50E91">
              <w:rPr>
                <w:sz w:val="18"/>
                <w:szCs w:val="20"/>
              </w:rPr>
              <w:t>+20 m</w:t>
            </w:r>
          </w:p>
        </w:tc>
        <w:tc>
          <w:tcPr>
            <w:tcW w:w="1127"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jc w:val="center"/>
              <w:rPr>
                <w:sz w:val="18"/>
                <w:szCs w:val="20"/>
              </w:rPr>
            </w:pPr>
            <w:r w:rsidRPr="00D50E91">
              <w:rPr>
                <w:sz w:val="18"/>
                <w:szCs w:val="20"/>
              </w:rPr>
              <w:t>+20 m</w:t>
            </w:r>
          </w:p>
        </w:tc>
        <w:tc>
          <w:tcPr>
            <w:tcW w:w="1143" w:type="dxa"/>
            <w:gridSpan w:val="2"/>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jc w:val="center"/>
              <w:rPr>
                <w:sz w:val="18"/>
                <w:szCs w:val="20"/>
              </w:rPr>
            </w:pPr>
            <w:r w:rsidRPr="00D50E91">
              <w:rPr>
                <w:sz w:val="18"/>
                <w:szCs w:val="20"/>
              </w:rPr>
              <w:t>+20 m</w:t>
            </w:r>
          </w:p>
        </w:tc>
      </w:tr>
      <w:tr w:rsidR="00E651AC" w:rsidRPr="00D50E91" w:rsidTr="00BA45D4">
        <w:trPr>
          <w:trHeight w:val="403"/>
        </w:trPr>
        <w:tc>
          <w:tcPr>
            <w:tcW w:w="557" w:type="dxa"/>
            <w:tcBorders>
              <w:top w:val="single" w:sz="4" w:space="0" w:color="auto"/>
              <w:left w:val="single" w:sz="4" w:space="0" w:color="auto"/>
              <w:right w:val="single" w:sz="4" w:space="0" w:color="auto"/>
            </w:tcBorders>
          </w:tcPr>
          <w:p w:rsidR="00E651AC" w:rsidRPr="00D50E91" w:rsidRDefault="00BA45D4" w:rsidP="00BA45D4">
            <w:pPr>
              <w:autoSpaceDE w:val="0"/>
              <w:autoSpaceDN w:val="0"/>
              <w:adjustRightInd w:val="0"/>
              <w:ind w:left="56" w:right="56"/>
              <w:jc w:val="center"/>
              <w:rPr>
                <w:sz w:val="18"/>
                <w:szCs w:val="20"/>
              </w:rPr>
            </w:pPr>
            <w:r w:rsidRPr="00D50E91">
              <w:rPr>
                <w:sz w:val="18"/>
                <w:szCs w:val="20"/>
              </w:rPr>
              <w:t xml:space="preserve"> </w:t>
            </w:r>
            <w:r w:rsidR="00E651AC" w:rsidRPr="00D50E91">
              <w:rPr>
                <w:sz w:val="18"/>
                <w:szCs w:val="20"/>
              </w:rPr>
              <w:t>14</w:t>
            </w:r>
          </w:p>
        </w:tc>
        <w:tc>
          <w:tcPr>
            <w:tcW w:w="1419" w:type="dxa"/>
            <w:vMerge/>
            <w:tcBorders>
              <w:left w:val="single" w:sz="4" w:space="0" w:color="auto"/>
              <w:right w:val="single" w:sz="4" w:space="0" w:color="auto"/>
            </w:tcBorders>
          </w:tcPr>
          <w:p w:rsidR="00E651AC" w:rsidRPr="00D50E91" w:rsidRDefault="00E651AC" w:rsidP="00BA45D4">
            <w:pPr>
              <w:autoSpaceDE w:val="0"/>
              <w:autoSpaceDN w:val="0"/>
              <w:adjustRightInd w:val="0"/>
              <w:ind w:left="913" w:right="56"/>
              <w:rPr>
                <w:sz w:val="18"/>
              </w:rPr>
            </w:pPr>
          </w:p>
        </w:tc>
        <w:tc>
          <w:tcPr>
            <w:tcW w:w="3836" w:type="dxa"/>
            <w:vMerge/>
            <w:tcBorders>
              <w:left w:val="single" w:sz="4" w:space="0" w:color="auto"/>
              <w:right w:val="single" w:sz="4" w:space="0" w:color="auto"/>
            </w:tcBorders>
          </w:tcPr>
          <w:p w:rsidR="00E651AC" w:rsidRPr="00D50E91" w:rsidDel="001F484B" w:rsidRDefault="00E651AC" w:rsidP="00BA45D4">
            <w:pPr>
              <w:autoSpaceDE w:val="0"/>
              <w:autoSpaceDN w:val="0"/>
              <w:adjustRightInd w:val="0"/>
              <w:ind w:right="56"/>
              <w:jc w:val="both"/>
              <w:rPr>
                <w:sz w:val="18"/>
              </w:rPr>
            </w:pPr>
          </w:p>
        </w:tc>
        <w:tc>
          <w:tcPr>
            <w:tcW w:w="1000" w:type="dxa"/>
            <w:tcBorders>
              <w:top w:val="single" w:sz="4" w:space="0" w:color="auto"/>
              <w:left w:val="single" w:sz="4" w:space="0" w:color="auto"/>
              <w:right w:val="single" w:sz="4" w:space="0" w:color="auto"/>
            </w:tcBorders>
          </w:tcPr>
          <w:p w:rsidR="00E651AC" w:rsidRPr="00D50E91" w:rsidRDefault="00E651AC" w:rsidP="00BA45D4">
            <w:pPr>
              <w:autoSpaceDE w:val="0"/>
              <w:autoSpaceDN w:val="0"/>
              <w:adjustRightInd w:val="0"/>
              <w:jc w:val="center"/>
              <w:rPr>
                <w:sz w:val="18"/>
                <w:szCs w:val="20"/>
              </w:rPr>
            </w:pPr>
            <w:r w:rsidRPr="00D50E91">
              <w:rPr>
                <w:sz w:val="18"/>
                <w:szCs w:val="20"/>
              </w:rPr>
              <w:t>&gt;10 m</w:t>
            </w:r>
          </w:p>
        </w:tc>
        <w:tc>
          <w:tcPr>
            <w:tcW w:w="692" w:type="dxa"/>
            <w:tcBorders>
              <w:top w:val="single" w:sz="4" w:space="0" w:color="auto"/>
              <w:left w:val="single" w:sz="4" w:space="0" w:color="auto"/>
              <w:right w:val="single" w:sz="4" w:space="0" w:color="auto"/>
            </w:tcBorders>
          </w:tcPr>
          <w:p w:rsidR="00E651AC" w:rsidRPr="00D50E91" w:rsidRDefault="00E651AC" w:rsidP="00BA45D4">
            <w:pPr>
              <w:autoSpaceDE w:val="0"/>
              <w:autoSpaceDN w:val="0"/>
              <w:adjustRightInd w:val="0"/>
              <w:jc w:val="center"/>
              <w:rPr>
                <w:sz w:val="18"/>
                <w:szCs w:val="20"/>
              </w:rPr>
            </w:pPr>
            <w:r w:rsidRPr="00D50E91">
              <w:rPr>
                <w:sz w:val="18"/>
                <w:szCs w:val="20"/>
              </w:rPr>
              <w:t>+40 m</w:t>
            </w:r>
          </w:p>
        </w:tc>
        <w:tc>
          <w:tcPr>
            <w:tcW w:w="1139" w:type="dxa"/>
            <w:tcBorders>
              <w:top w:val="single" w:sz="4" w:space="0" w:color="auto"/>
              <w:left w:val="single" w:sz="4" w:space="0" w:color="auto"/>
              <w:right w:val="single" w:sz="4" w:space="0" w:color="auto"/>
            </w:tcBorders>
          </w:tcPr>
          <w:p w:rsidR="00E651AC" w:rsidRPr="00D50E91" w:rsidRDefault="00E651AC" w:rsidP="00BA45D4">
            <w:pPr>
              <w:autoSpaceDE w:val="0"/>
              <w:autoSpaceDN w:val="0"/>
              <w:adjustRightInd w:val="0"/>
              <w:jc w:val="center"/>
              <w:rPr>
                <w:sz w:val="18"/>
                <w:szCs w:val="20"/>
              </w:rPr>
            </w:pPr>
            <w:r w:rsidRPr="00D50E91">
              <w:rPr>
                <w:sz w:val="18"/>
                <w:szCs w:val="20"/>
              </w:rPr>
              <w:t>+45 m</w:t>
            </w:r>
          </w:p>
        </w:tc>
        <w:tc>
          <w:tcPr>
            <w:tcW w:w="1127" w:type="dxa"/>
            <w:tcBorders>
              <w:top w:val="single" w:sz="4" w:space="0" w:color="auto"/>
              <w:left w:val="single" w:sz="4" w:space="0" w:color="auto"/>
              <w:right w:val="single" w:sz="4" w:space="0" w:color="auto"/>
            </w:tcBorders>
          </w:tcPr>
          <w:p w:rsidR="00E651AC" w:rsidRPr="00D50E91" w:rsidDel="001F51D8" w:rsidRDefault="00E651AC" w:rsidP="00BA45D4">
            <w:pPr>
              <w:autoSpaceDE w:val="0"/>
              <w:autoSpaceDN w:val="0"/>
              <w:adjustRightInd w:val="0"/>
              <w:jc w:val="center"/>
              <w:rPr>
                <w:sz w:val="18"/>
                <w:szCs w:val="20"/>
              </w:rPr>
            </w:pPr>
            <w:r w:rsidRPr="00D50E91">
              <w:rPr>
                <w:sz w:val="18"/>
                <w:szCs w:val="20"/>
              </w:rPr>
              <w:t>+45 m</w:t>
            </w:r>
          </w:p>
        </w:tc>
        <w:tc>
          <w:tcPr>
            <w:tcW w:w="1143" w:type="dxa"/>
            <w:gridSpan w:val="2"/>
            <w:tcBorders>
              <w:top w:val="single" w:sz="4" w:space="0" w:color="auto"/>
              <w:left w:val="single" w:sz="4" w:space="0" w:color="auto"/>
              <w:right w:val="single" w:sz="4" w:space="0" w:color="auto"/>
            </w:tcBorders>
          </w:tcPr>
          <w:p w:rsidR="00E651AC" w:rsidRPr="00D50E91" w:rsidRDefault="00E651AC" w:rsidP="00BA45D4">
            <w:pPr>
              <w:autoSpaceDE w:val="0"/>
              <w:autoSpaceDN w:val="0"/>
              <w:adjustRightInd w:val="0"/>
              <w:jc w:val="center"/>
              <w:rPr>
                <w:sz w:val="18"/>
                <w:szCs w:val="20"/>
              </w:rPr>
            </w:pPr>
            <w:r w:rsidRPr="00D50E91">
              <w:rPr>
                <w:sz w:val="18"/>
                <w:szCs w:val="20"/>
              </w:rPr>
              <w:t>+45 m</w:t>
            </w:r>
          </w:p>
        </w:tc>
      </w:tr>
      <w:tr w:rsidR="00E651AC" w:rsidRPr="00D50E91" w:rsidTr="00BA45D4">
        <w:tc>
          <w:tcPr>
            <w:tcW w:w="557"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left="56" w:right="56"/>
              <w:jc w:val="center"/>
              <w:rPr>
                <w:sz w:val="18"/>
                <w:szCs w:val="20"/>
              </w:rPr>
            </w:pPr>
            <w:r w:rsidRPr="00D50E91">
              <w:rPr>
                <w:sz w:val="18"/>
                <w:szCs w:val="20"/>
              </w:rPr>
              <w:t xml:space="preserve"> 15</w:t>
            </w:r>
          </w:p>
        </w:tc>
        <w:tc>
          <w:tcPr>
            <w:tcW w:w="6255" w:type="dxa"/>
            <w:gridSpan w:val="3"/>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left="56" w:right="56"/>
              <w:rPr>
                <w:sz w:val="18"/>
                <w:szCs w:val="20"/>
              </w:rPr>
            </w:pPr>
            <w:r w:rsidRPr="00D50E91">
              <w:rPr>
                <w:sz w:val="18"/>
                <w:szCs w:val="20"/>
              </w:rPr>
              <w:t xml:space="preserve"> Menekülési útvonal megengedett legnagyobb hossza</w:t>
            </w:r>
          </w:p>
        </w:tc>
        <w:tc>
          <w:tcPr>
            <w:tcW w:w="692"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left="56" w:right="56"/>
              <w:jc w:val="center"/>
              <w:rPr>
                <w:sz w:val="18"/>
                <w:szCs w:val="20"/>
              </w:rPr>
            </w:pPr>
            <w:r w:rsidRPr="00D50E91">
              <w:rPr>
                <w:sz w:val="18"/>
                <w:szCs w:val="20"/>
              </w:rPr>
              <w:t xml:space="preserve"> 200</w:t>
            </w:r>
          </w:p>
        </w:tc>
        <w:tc>
          <w:tcPr>
            <w:tcW w:w="1139"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left="56" w:right="56"/>
              <w:jc w:val="center"/>
              <w:rPr>
                <w:sz w:val="18"/>
                <w:szCs w:val="20"/>
              </w:rPr>
            </w:pPr>
            <w:r w:rsidRPr="00D50E91">
              <w:rPr>
                <w:sz w:val="18"/>
                <w:szCs w:val="20"/>
              </w:rPr>
              <w:t xml:space="preserve"> 300</w:t>
            </w:r>
          </w:p>
        </w:tc>
        <w:tc>
          <w:tcPr>
            <w:tcW w:w="1133" w:type="dxa"/>
            <w:gridSpan w:val="2"/>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left="56" w:right="56"/>
              <w:jc w:val="center"/>
              <w:rPr>
                <w:sz w:val="18"/>
                <w:szCs w:val="20"/>
              </w:rPr>
            </w:pPr>
            <w:r w:rsidRPr="00D50E91">
              <w:rPr>
                <w:sz w:val="18"/>
                <w:szCs w:val="20"/>
              </w:rPr>
              <w:t xml:space="preserve"> 300</w:t>
            </w:r>
          </w:p>
        </w:tc>
        <w:tc>
          <w:tcPr>
            <w:tcW w:w="1137"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jc w:val="center"/>
              <w:rPr>
                <w:sz w:val="18"/>
                <w:szCs w:val="20"/>
              </w:rPr>
            </w:pPr>
            <w:r w:rsidRPr="00D50E91">
              <w:rPr>
                <w:sz w:val="18"/>
                <w:szCs w:val="20"/>
              </w:rPr>
              <w:t xml:space="preserve"> </w:t>
            </w:r>
            <w:r w:rsidRPr="00D50E91">
              <w:rPr>
                <w:sz w:val="18"/>
              </w:rPr>
              <w:t>300</w:t>
            </w:r>
          </w:p>
        </w:tc>
      </w:tr>
      <w:tr w:rsidR="00E651AC" w:rsidRPr="00D50E91" w:rsidTr="00BA45D4">
        <w:tc>
          <w:tcPr>
            <w:tcW w:w="557"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left="56" w:right="56"/>
              <w:jc w:val="center"/>
              <w:rPr>
                <w:sz w:val="18"/>
                <w:szCs w:val="20"/>
              </w:rPr>
            </w:pPr>
            <w:r w:rsidRPr="00D50E91">
              <w:rPr>
                <w:sz w:val="18"/>
                <w:szCs w:val="20"/>
              </w:rPr>
              <w:t xml:space="preserve"> 16</w:t>
            </w:r>
          </w:p>
        </w:tc>
        <w:tc>
          <w:tcPr>
            <w:tcW w:w="6255" w:type="dxa"/>
            <w:gridSpan w:val="3"/>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left="56" w:right="56"/>
              <w:rPr>
                <w:sz w:val="18"/>
                <w:szCs w:val="20"/>
              </w:rPr>
            </w:pPr>
            <w:r w:rsidRPr="00D50E91">
              <w:rPr>
                <w:sz w:val="18"/>
                <w:szCs w:val="20"/>
              </w:rPr>
              <w:t xml:space="preserve"> Menekülésben korlátozott személyek részére szolgáló átmeneti védett tér elérési távolsága menekülési útvonalon keresztül, a menekülési útvonalba lépés helyétől mérve</w:t>
            </w:r>
          </w:p>
        </w:tc>
        <w:tc>
          <w:tcPr>
            <w:tcW w:w="4101" w:type="dxa"/>
            <w:gridSpan w:val="5"/>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left="56" w:right="56"/>
              <w:jc w:val="center"/>
              <w:rPr>
                <w:sz w:val="18"/>
                <w:szCs w:val="20"/>
              </w:rPr>
            </w:pPr>
            <w:r w:rsidRPr="00D50E91">
              <w:rPr>
                <w:sz w:val="18"/>
                <w:szCs w:val="20"/>
              </w:rPr>
              <w:t xml:space="preserve"> 40</w:t>
            </w:r>
          </w:p>
        </w:tc>
      </w:tr>
    </w:tbl>
    <w:p w:rsidR="005B415B" w:rsidRPr="00D50E91" w:rsidRDefault="005B415B" w:rsidP="00595B18">
      <w:pPr>
        <w:jc w:val="both"/>
      </w:pPr>
    </w:p>
    <w:p w:rsidR="005B415B" w:rsidRPr="00D50E91" w:rsidRDefault="005B415B">
      <w:pPr>
        <w:spacing w:after="200" w:line="276" w:lineRule="auto"/>
      </w:pPr>
      <w:r w:rsidRPr="00D50E91">
        <w:br w:type="page"/>
      </w:r>
    </w:p>
    <w:p w:rsidR="005B415B" w:rsidRPr="00D50E91" w:rsidRDefault="005B415B" w:rsidP="00443660">
      <w:pPr>
        <w:jc w:val="both"/>
        <w:rPr>
          <w:b/>
          <w:sz w:val="20"/>
          <w:szCs w:val="20"/>
        </w:rPr>
      </w:pPr>
      <w:r w:rsidRPr="00D50E91">
        <w:rPr>
          <w:b/>
          <w:sz w:val="20"/>
          <w:szCs w:val="20"/>
        </w:rPr>
        <w:lastRenderedPageBreak/>
        <w:t>2. táblázat, A kiürítési számítás alcímhez</w:t>
      </w:r>
    </w:p>
    <w:p w:rsidR="005B415B" w:rsidRPr="00D50E91" w:rsidRDefault="005B415B" w:rsidP="00595B18">
      <w:pPr>
        <w:jc w:val="both"/>
      </w:pPr>
    </w:p>
    <w:tbl>
      <w:tblPr>
        <w:tblW w:w="11699" w:type="dxa"/>
        <w:tblInd w:w="5" w:type="dxa"/>
        <w:tblLayout w:type="fixed"/>
        <w:tblCellMar>
          <w:left w:w="0" w:type="dxa"/>
          <w:right w:w="0" w:type="dxa"/>
        </w:tblCellMar>
        <w:tblLook w:val="0000" w:firstRow="0" w:lastRow="0" w:firstColumn="0" w:lastColumn="0" w:noHBand="0" w:noVBand="0"/>
      </w:tblPr>
      <w:tblGrid>
        <w:gridCol w:w="561"/>
        <w:gridCol w:w="1242"/>
        <w:gridCol w:w="3957"/>
        <w:gridCol w:w="1260"/>
        <w:gridCol w:w="1133"/>
        <w:gridCol w:w="1275"/>
        <w:gridCol w:w="1133"/>
        <w:gridCol w:w="1138"/>
      </w:tblGrid>
      <w:tr w:rsidR="00E651AC" w:rsidRPr="00D50E91" w:rsidTr="00BA45D4">
        <w:tc>
          <w:tcPr>
            <w:tcW w:w="562"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rPr>
                <w:sz w:val="20"/>
                <w:szCs w:val="20"/>
              </w:rPr>
            </w:pPr>
          </w:p>
        </w:tc>
        <w:tc>
          <w:tcPr>
            <w:tcW w:w="5198" w:type="dxa"/>
            <w:gridSpan w:val="2"/>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left="56" w:right="56"/>
              <w:jc w:val="center"/>
              <w:rPr>
                <w:sz w:val="20"/>
                <w:szCs w:val="20"/>
              </w:rPr>
            </w:pPr>
            <w:r w:rsidRPr="00D50E91">
              <w:rPr>
                <w:sz w:val="20"/>
                <w:szCs w:val="20"/>
              </w:rPr>
              <w:t xml:space="preserve"> A</w:t>
            </w:r>
          </w:p>
        </w:tc>
        <w:tc>
          <w:tcPr>
            <w:tcW w:w="1260"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left="56" w:right="56"/>
              <w:jc w:val="center"/>
              <w:rPr>
                <w:sz w:val="20"/>
                <w:szCs w:val="20"/>
              </w:rPr>
            </w:pPr>
            <w:r w:rsidRPr="00D50E91">
              <w:rPr>
                <w:sz w:val="20"/>
                <w:szCs w:val="20"/>
              </w:rPr>
              <w:t xml:space="preserve"> B</w:t>
            </w:r>
          </w:p>
        </w:tc>
        <w:tc>
          <w:tcPr>
            <w:tcW w:w="1133"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left="56" w:right="56"/>
              <w:jc w:val="center"/>
              <w:rPr>
                <w:sz w:val="20"/>
                <w:szCs w:val="20"/>
              </w:rPr>
            </w:pPr>
            <w:r w:rsidRPr="00D50E91">
              <w:rPr>
                <w:sz w:val="20"/>
                <w:szCs w:val="20"/>
              </w:rPr>
              <w:t xml:space="preserve"> C</w:t>
            </w:r>
          </w:p>
        </w:tc>
        <w:tc>
          <w:tcPr>
            <w:tcW w:w="1275"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left="56" w:right="56"/>
              <w:jc w:val="center"/>
              <w:rPr>
                <w:sz w:val="20"/>
                <w:szCs w:val="20"/>
              </w:rPr>
            </w:pPr>
            <w:r w:rsidRPr="00D50E91">
              <w:rPr>
                <w:sz w:val="20"/>
                <w:szCs w:val="20"/>
              </w:rPr>
              <w:t xml:space="preserve"> D</w:t>
            </w:r>
          </w:p>
        </w:tc>
        <w:tc>
          <w:tcPr>
            <w:tcW w:w="1133"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left="56" w:right="56"/>
              <w:jc w:val="center"/>
              <w:rPr>
                <w:sz w:val="20"/>
                <w:szCs w:val="20"/>
              </w:rPr>
            </w:pPr>
            <w:r w:rsidRPr="00D50E91">
              <w:rPr>
                <w:sz w:val="20"/>
                <w:szCs w:val="20"/>
              </w:rPr>
              <w:t xml:space="preserve"> E</w:t>
            </w:r>
          </w:p>
        </w:tc>
        <w:tc>
          <w:tcPr>
            <w:tcW w:w="1138"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left="56" w:right="56"/>
              <w:jc w:val="center"/>
              <w:rPr>
                <w:sz w:val="20"/>
                <w:szCs w:val="20"/>
              </w:rPr>
            </w:pPr>
            <w:r w:rsidRPr="00D50E91">
              <w:rPr>
                <w:sz w:val="20"/>
                <w:szCs w:val="20"/>
              </w:rPr>
              <w:t>F</w:t>
            </w:r>
          </w:p>
        </w:tc>
      </w:tr>
      <w:tr w:rsidR="00E651AC" w:rsidRPr="00D50E91" w:rsidTr="00BA45D4">
        <w:tc>
          <w:tcPr>
            <w:tcW w:w="562"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left="56" w:right="56"/>
              <w:jc w:val="center"/>
              <w:rPr>
                <w:sz w:val="20"/>
                <w:szCs w:val="20"/>
              </w:rPr>
            </w:pPr>
            <w:r w:rsidRPr="00D50E91">
              <w:rPr>
                <w:sz w:val="20"/>
                <w:szCs w:val="20"/>
              </w:rPr>
              <w:t xml:space="preserve"> 1</w:t>
            </w:r>
          </w:p>
        </w:tc>
        <w:tc>
          <w:tcPr>
            <w:tcW w:w="5198" w:type="dxa"/>
            <w:gridSpan w:val="2"/>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rPr>
                <w:b/>
                <w:sz w:val="20"/>
                <w:szCs w:val="20"/>
              </w:rPr>
            </w:pPr>
            <w:r w:rsidRPr="00D50E91">
              <w:rPr>
                <w:b/>
                <w:sz w:val="20"/>
                <w:szCs w:val="20"/>
              </w:rPr>
              <w:t xml:space="preserve"> </w:t>
            </w:r>
          </w:p>
        </w:tc>
        <w:tc>
          <w:tcPr>
            <w:tcW w:w="1260" w:type="dxa"/>
            <w:tcBorders>
              <w:top w:val="single" w:sz="4" w:space="0" w:color="auto"/>
              <w:left w:val="single" w:sz="4" w:space="0" w:color="auto"/>
              <w:bottom w:val="single" w:sz="4" w:space="0" w:color="auto"/>
              <w:right w:val="single" w:sz="4" w:space="0" w:color="auto"/>
            </w:tcBorders>
          </w:tcPr>
          <w:p w:rsidR="00E651AC" w:rsidRPr="00D50E91" w:rsidRDefault="00BE6F3F" w:rsidP="00BE6F3F">
            <w:pPr>
              <w:autoSpaceDE w:val="0"/>
              <w:autoSpaceDN w:val="0"/>
              <w:adjustRightInd w:val="0"/>
              <w:jc w:val="center"/>
              <w:rPr>
                <w:b/>
                <w:sz w:val="20"/>
                <w:szCs w:val="20"/>
              </w:rPr>
            </w:pPr>
            <w:r w:rsidRPr="00D50E91">
              <w:rPr>
                <w:b/>
                <w:sz w:val="20"/>
                <w:szCs w:val="20"/>
              </w:rPr>
              <w:t>F</w:t>
            </w:r>
            <w:r w:rsidR="00E651AC" w:rsidRPr="00D50E91">
              <w:rPr>
                <w:b/>
                <w:sz w:val="20"/>
                <w:szCs w:val="20"/>
              </w:rPr>
              <w:t>üstszegény levegőréteg magassága</w:t>
            </w:r>
          </w:p>
        </w:tc>
        <w:tc>
          <w:tcPr>
            <w:tcW w:w="4679" w:type="dxa"/>
            <w:gridSpan w:val="4"/>
            <w:tcBorders>
              <w:top w:val="single" w:sz="4" w:space="0" w:color="auto"/>
              <w:left w:val="single" w:sz="4" w:space="0" w:color="auto"/>
              <w:bottom w:val="single" w:sz="4" w:space="0" w:color="auto"/>
              <w:right w:val="single" w:sz="4" w:space="0" w:color="auto"/>
            </w:tcBorders>
          </w:tcPr>
          <w:p w:rsidR="00E651AC" w:rsidRPr="00D50E91" w:rsidRDefault="00E651AC" w:rsidP="00BE6F3F">
            <w:pPr>
              <w:autoSpaceDE w:val="0"/>
              <w:autoSpaceDN w:val="0"/>
              <w:adjustRightInd w:val="0"/>
              <w:ind w:left="56" w:right="56"/>
              <w:jc w:val="center"/>
              <w:rPr>
                <w:b/>
                <w:sz w:val="20"/>
                <w:szCs w:val="20"/>
              </w:rPr>
            </w:pPr>
            <w:r w:rsidRPr="00D50E91">
              <w:rPr>
                <w:b/>
                <w:sz w:val="20"/>
                <w:szCs w:val="20"/>
              </w:rPr>
              <w:t xml:space="preserve"> </w:t>
            </w:r>
            <w:r w:rsidR="00BE6F3F" w:rsidRPr="00D50E91">
              <w:rPr>
                <w:b/>
                <w:sz w:val="20"/>
                <w:szCs w:val="20"/>
              </w:rPr>
              <w:t>A</w:t>
            </w:r>
            <w:r w:rsidRPr="00D50E91">
              <w:rPr>
                <w:b/>
                <w:sz w:val="20"/>
                <w:szCs w:val="20"/>
              </w:rPr>
              <w:t xml:space="preserve"> kiürítés megengedett időtartama (perc),</w:t>
            </w:r>
            <w:r w:rsidRPr="00D50E91">
              <w:rPr>
                <w:b/>
                <w:sz w:val="20"/>
                <w:szCs w:val="20"/>
              </w:rPr>
              <w:br/>
              <w:t>ha a kockázati egység kockázati osztálya</w:t>
            </w:r>
          </w:p>
        </w:tc>
      </w:tr>
      <w:tr w:rsidR="00E651AC" w:rsidRPr="00D50E91" w:rsidTr="00BA45D4">
        <w:tc>
          <w:tcPr>
            <w:tcW w:w="562"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left="56" w:right="56"/>
              <w:jc w:val="center"/>
              <w:rPr>
                <w:sz w:val="20"/>
                <w:szCs w:val="20"/>
              </w:rPr>
            </w:pPr>
            <w:r w:rsidRPr="00D50E91">
              <w:rPr>
                <w:sz w:val="20"/>
                <w:szCs w:val="20"/>
              </w:rPr>
              <w:t xml:space="preserve"> 2</w:t>
            </w:r>
          </w:p>
        </w:tc>
        <w:tc>
          <w:tcPr>
            <w:tcW w:w="5202" w:type="dxa"/>
            <w:gridSpan w:val="2"/>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rPr>
                <w:sz w:val="20"/>
                <w:szCs w:val="20"/>
              </w:rPr>
            </w:pPr>
            <w:r w:rsidRPr="00D50E91">
              <w:rPr>
                <w:sz w:val="20"/>
                <w:szCs w:val="20"/>
              </w:rPr>
              <w:t xml:space="preserve"> </w:t>
            </w:r>
          </w:p>
        </w:tc>
        <w:tc>
          <w:tcPr>
            <w:tcW w:w="1256"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left="56" w:right="56"/>
              <w:jc w:val="center"/>
              <w:rPr>
                <w:sz w:val="20"/>
                <w:szCs w:val="20"/>
              </w:rPr>
            </w:pPr>
            <w:r w:rsidRPr="00D50E91">
              <w:rPr>
                <w:sz w:val="20"/>
                <w:szCs w:val="20"/>
              </w:rPr>
              <w:t xml:space="preserve"> NAK</w:t>
            </w:r>
          </w:p>
        </w:tc>
        <w:tc>
          <w:tcPr>
            <w:tcW w:w="1275"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left="56" w:right="56"/>
              <w:jc w:val="center"/>
              <w:rPr>
                <w:sz w:val="20"/>
                <w:szCs w:val="20"/>
              </w:rPr>
            </w:pPr>
            <w:r w:rsidRPr="00D50E91">
              <w:rPr>
                <w:sz w:val="20"/>
                <w:szCs w:val="20"/>
              </w:rPr>
              <w:t xml:space="preserve"> AK</w:t>
            </w:r>
          </w:p>
        </w:tc>
        <w:tc>
          <w:tcPr>
            <w:tcW w:w="1133"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left="56" w:right="56"/>
              <w:jc w:val="center"/>
              <w:rPr>
                <w:sz w:val="20"/>
                <w:szCs w:val="20"/>
              </w:rPr>
            </w:pPr>
            <w:r w:rsidRPr="00D50E91">
              <w:rPr>
                <w:sz w:val="20"/>
                <w:szCs w:val="20"/>
              </w:rPr>
              <w:t xml:space="preserve"> KK</w:t>
            </w:r>
          </w:p>
        </w:tc>
        <w:tc>
          <w:tcPr>
            <w:tcW w:w="1138"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left="56" w:right="56"/>
              <w:jc w:val="center"/>
              <w:rPr>
                <w:sz w:val="20"/>
                <w:szCs w:val="20"/>
              </w:rPr>
            </w:pPr>
            <w:r w:rsidRPr="00D50E91">
              <w:rPr>
                <w:sz w:val="20"/>
                <w:szCs w:val="20"/>
              </w:rPr>
              <w:t xml:space="preserve"> MK</w:t>
            </w:r>
          </w:p>
        </w:tc>
      </w:tr>
      <w:tr w:rsidR="00E651AC" w:rsidRPr="00D50E91" w:rsidTr="00BA45D4">
        <w:tc>
          <w:tcPr>
            <w:tcW w:w="562"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left="56" w:right="56"/>
              <w:jc w:val="center"/>
              <w:rPr>
                <w:sz w:val="20"/>
                <w:szCs w:val="20"/>
              </w:rPr>
            </w:pPr>
            <w:r w:rsidRPr="00D50E91">
              <w:rPr>
                <w:sz w:val="20"/>
                <w:szCs w:val="20"/>
              </w:rPr>
              <w:t xml:space="preserve"> 3</w:t>
            </w:r>
          </w:p>
        </w:tc>
        <w:tc>
          <w:tcPr>
            <w:tcW w:w="5202" w:type="dxa"/>
            <w:gridSpan w:val="2"/>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right="56"/>
              <w:rPr>
                <w:sz w:val="20"/>
                <w:szCs w:val="20"/>
              </w:rPr>
            </w:pPr>
            <w:r w:rsidRPr="00D50E91">
              <w:rPr>
                <w:sz w:val="20"/>
                <w:szCs w:val="20"/>
              </w:rPr>
              <w:t xml:space="preserve"> Első szakasz</w:t>
            </w:r>
          </w:p>
        </w:tc>
        <w:tc>
          <w:tcPr>
            <w:tcW w:w="1256"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right="56"/>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left="56" w:right="56"/>
              <w:jc w:val="center"/>
              <w:rPr>
                <w:sz w:val="20"/>
                <w:szCs w:val="20"/>
              </w:rPr>
            </w:pPr>
            <w:r w:rsidRPr="00D50E91">
              <w:rPr>
                <w:sz w:val="20"/>
                <w:szCs w:val="20"/>
              </w:rPr>
              <w:t xml:space="preserve"> 1,0</w:t>
            </w:r>
          </w:p>
        </w:tc>
        <w:tc>
          <w:tcPr>
            <w:tcW w:w="1275"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left="56" w:right="56"/>
              <w:jc w:val="center"/>
              <w:rPr>
                <w:sz w:val="20"/>
                <w:szCs w:val="20"/>
              </w:rPr>
            </w:pPr>
            <w:r w:rsidRPr="00D50E91">
              <w:rPr>
                <w:sz w:val="20"/>
                <w:szCs w:val="20"/>
              </w:rPr>
              <w:t xml:space="preserve"> 1,5</w:t>
            </w:r>
          </w:p>
        </w:tc>
        <w:tc>
          <w:tcPr>
            <w:tcW w:w="1133"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left="56" w:right="56"/>
              <w:jc w:val="center"/>
              <w:rPr>
                <w:sz w:val="20"/>
                <w:szCs w:val="20"/>
              </w:rPr>
            </w:pPr>
            <w:r w:rsidRPr="00D50E91">
              <w:rPr>
                <w:sz w:val="20"/>
                <w:szCs w:val="20"/>
              </w:rPr>
              <w:t xml:space="preserve"> 1,5</w:t>
            </w:r>
          </w:p>
        </w:tc>
        <w:tc>
          <w:tcPr>
            <w:tcW w:w="1138"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left="56" w:right="56"/>
              <w:jc w:val="center"/>
              <w:rPr>
                <w:sz w:val="20"/>
                <w:szCs w:val="20"/>
              </w:rPr>
            </w:pPr>
            <w:r w:rsidRPr="00D50E91">
              <w:rPr>
                <w:sz w:val="20"/>
              </w:rPr>
              <w:t>1,5</w:t>
            </w:r>
          </w:p>
        </w:tc>
      </w:tr>
      <w:tr w:rsidR="00E651AC" w:rsidRPr="00D50E91" w:rsidTr="00BA45D4">
        <w:trPr>
          <w:trHeight w:val="475"/>
        </w:trPr>
        <w:tc>
          <w:tcPr>
            <w:tcW w:w="562" w:type="dxa"/>
            <w:tcBorders>
              <w:top w:val="single" w:sz="4" w:space="0" w:color="auto"/>
              <w:left w:val="single" w:sz="4" w:space="0" w:color="auto"/>
              <w:bottom w:val="single" w:sz="4" w:space="0" w:color="auto"/>
              <w:right w:val="single" w:sz="4" w:space="0" w:color="auto"/>
            </w:tcBorders>
          </w:tcPr>
          <w:p w:rsidR="00E651AC" w:rsidRPr="00D50E91" w:rsidRDefault="00886738" w:rsidP="00BA45D4">
            <w:pPr>
              <w:autoSpaceDE w:val="0"/>
              <w:autoSpaceDN w:val="0"/>
              <w:adjustRightInd w:val="0"/>
              <w:ind w:left="56" w:right="56"/>
              <w:jc w:val="center"/>
              <w:rPr>
                <w:sz w:val="20"/>
                <w:szCs w:val="20"/>
              </w:rPr>
            </w:pPr>
            <w:r w:rsidRPr="00D50E91">
              <w:rPr>
                <w:sz w:val="20"/>
                <w:szCs w:val="20"/>
              </w:rPr>
              <w:t xml:space="preserve"> </w:t>
            </w:r>
            <w:r w:rsidR="00E651AC" w:rsidRPr="00D50E91">
              <w:rPr>
                <w:sz w:val="20"/>
                <w:szCs w:val="20"/>
              </w:rPr>
              <w:t>4</w:t>
            </w:r>
          </w:p>
        </w:tc>
        <w:tc>
          <w:tcPr>
            <w:tcW w:w="1243" w:type="dxa"/>
            <w:vMerge w:val="restart"/>
            <w:tcBorders>
              <w:top w:val="single" w:sz="4" w:space="0" w:color="auto"/>
              <w:left w:val="single" w:sz="4" w:space="0" w:color="auto"/>
              <w:right w:val="single" w:sz="4" w:space="0" w:color="auto"/>
            </w:tcBorders>
          </w:tcPr>
          <w:p w:rsidR="00E651AC" w:rsidRPr="00D50E91" w:rsidRDefault="00E651AC" w:rsidP="00BA45D4">
            <w:pPr>
              <w:autoSpaceDE w:val="0"/>
              <w:autoSpaceDN w:val="0"/>
              <w:adjustRightInd w:val="0"/>
              <w:ind w:left="56" w:right="56"/>
              <w:rPr>
                <w:sz w:val="20"/>
                <w:szCs w:val="20"/>
              </w:rPr>
            </w:pPr>
            <w:r w:rsidRPr="00D50E91">
              <w:rPr>
                <w:sz w:val="20"/>
                <w:szCs w:val="20"/>
              </w:rPr>
              <w:t>Első szakasz megengedett növelése (perc)</w:t>
            </w:r>
          </w:p>
        </w:tc>
        <w:tc>
          <w:tcPr>
            <w:tcW w:w="3955" w:type="dxa"/>
            <w:vMerge w:val="restart"/>
            <w:tcBorders>
              <w:top w:val="single" w:sz="4" w:space="0" w:color="auto"/>
              <w:left w:val="single" w:sz="4" w:space="0" w:color="auto"/>
              <w:right w:val="single" w:sz="4" w:space="0" w:color="auto"/>
            </w:tcBorders>
          </w:tcPr>
          <w:p w:rsidR="00E651AC" w:rsidRPr="00D50E91" w:rsidRDefault="00E651AC" w:rsidP="00BA45D4">
            <w:pPr>
              <w:autoSpaceDE w:val="0"/>
              <w:autoSpaceDN w:val="0"/>
              <w:adjustRightInd w:val="0"/>
              <w:ind w:left="56" w:right="56"/>
              <w:rPr>
                <w:sz w:val="20"/>
                <w:szCs w:val="20"/>
              </w:rPr>
            </w:pPr>
            <w:r w:rsidRPr="00D50E91">
              <w:rPr>
                <w:sz w:val="20"/>
              </w:rPr>
              <w:t>tűzjelző berendezéssel és hő</w:t>
            </w:r>
            <w:r w:rsidR="003528A8">
              <w:rPr>
                <w:sz w:val="20"/>
              </w:rPr>
              <w:t>-</w:t>
            </w:r>
            <w:r w:rsidRPr="00D50E91">
              <w:rPr>
                <w:sz w:val="20"/>
              </w:rPr>
              <w:t xml:space="preserve"> és füstelvezetéssel ellátott térben, ha nincs tűzoltó berendezés, de a kiürítési útvonalon biztonsági világítás és menekülési jelek létesülnek</w:t>
            </w:r>
          </w:p>
        </w:tc>
        <w:tc>
          <w:tcPr>
            <w:tcW w:w="1260"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right="56"/>
              <w:jc w:val="center"/>
              <w:rPr>
                <w:sz w:val="20"/>
                <w:szCs w:val="20"/>
              </w:rPr>
            </w:pPr>
            <w:r w:rsidRPr="00D50E91">
              <w:rPr>
                <w:sz w:val="20"/>
                <w:szCs w:val="20"/>
              </w:rPr>
              <w:t>4</w:t>
            </w:r>
            <w:r w:rsidR="003528A8">
              <w:rPr>
                <w:sz w:val="20"/>
                <w:szCs w:val="20"/>
              </w:rPr>
              <w:t>-</w:t>
            </w:r>
            <w:r w:rsidRPr="00D50E91">
              <w:rPr>
                <w:sz w:val="20"/>
                <w:szCs w:val="20"/>
              </w:rPr>
              <w:t>10 m</w:t>
            </w:r>
          </w:p>
        </w:tc>
        <w:tc>
          <w:tcPr>
            <w:tcW w:w="1133"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left="56" w:right="56"/>
              <w:jc w:val="center"/>
              <w:rPr>
                <w:sz w:val="20"/>
                <w:szCs w:val="20"/>
              </w:rPr>
            </w:pPr>
            <w:r w:rsidRPr="00D50E91">
              <w:rPr>
                <w:sz w:val="20"/>
                <w:szCs w:val="20"/>
              </w:rPr>
              <w:t>+0,2</w:t>
            </w:r>
          </w:p>
        </w:tc>
        <w:tc>
          <w:tcPr>
            <w:tcW w:w="1275"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left="56" w:right="56"/>
              <w:jc w:val="center"/>
              <w:rPr>
                <w:sz w:val="20"/>
                <w:szCs w:val="20"/>
              </w:rPr>
            </w:pPr>
            <w:r w:rsidRPr="00D50E91">
              <w:rPr>
                <w:sz w:val="20"/>
                <w:szCs w:val="20"/>
              </w:rPr>
              <w:t>+0,3</w:t>
            </w:r>
          </w:p>
        </w:tc>
        <w:tc>
          <w:tcPr>
            <w:tcW w:w="1133"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left="56" w:right="56"/>
              <w:jc w:val="center"/>
              <w:rPr>
                <w:sz w:val="20"/>
                <w:szCs w:val="20"/>
              </w:rPr>
            </w:pPr>
            <w:r w:rsidRPr="00D50E91">
              <w:rPr>
                <w:sz w:val="20"/>
                <w:szCs w:val="20"/>
              </w:rPr>
              <w:t>+0,3</w:t>
            </w:r>
          </w:p>
        </w:tc>
        <w:tc>
          <w:tcPr>
            <w:tcW w:w="1138"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left="56" w:right="56"/>
              <w:jc w:val="center"/>
              <w:rPr>
                <w:sz w:val="20"/>
                <w:szCs w:val="20"/>
              </w:rPr>
            </w:pPr>
            <w:r w:rsidRPr="00D50E91">
              <w:rPr>
                <w:sz w:val="20"/>
                <w:szCs w:val="20"/>
              </w:rPr>
              <w:t>+0,3</w:t>
            </w:r>
          </w:p>
        </w:tc>
      </w:tr>
      <w:tr w:rsidR="00E651AC" w:rsidRPr="00D50E91" w:rsidTr="00BA45D4">
        <w:trPr>
          <w:trHeight w:val="56"/>
        </w:trPr>
        <w:tc>
          <w:tcPr>
            <w:tcW w:w="562" w:type="dxa"/>
            <w:tcBorders>
              <w:top w:val="single" w:sz="4" w:space="0" w:color="auto"/>
              <w:left w:val="single" w:sz="4" w:space="0" w:color="auto"/>
              <w:bottom w:val="single" w:sz="4" w:space="0" w:color="auto"/>
              <w:right w:val="single" w:sz="4" w:space="0" w:color="auto"/>
            </w:tcBorders>
          </w:tcPr>
          <w:p w:rsidR="00E651AC" w:rsidRPr="00D50E91" w:rsidRDefault="00886738" w:rsidP="00BA45D4">
            <w:pPr>
              <w:autoSpaceDE w:val="0"/>
              <w:autoSpaceDN w:val="0"/>
              <w:adjustRightInd w:val="0"/>
              <w:ind w:left="56" w:right="56"/>
              <w:jc w:val="center"/>
              <w:rPr>
                <w:sz w:val="20"/>
                <w:szCs w:val="20"/>
              </w:rPr>
            </w:pPr>
            <w:r w:rsidRPr="00D50E91">
              <w:rPr>
                <w:sz w:val="20"/>
                <w:szCs w:val="20"/>
              </w:rPr>
              <w:t xml:space="preserve"> </w:t>
            </w:r>
            <w:r w:rsidR="00E651AC" w:rsidRPr="00D50E91">
              <w:rPr>
                <w:sz w:val="20"/>
                <w:szCs w:val="20"/>
              </w:rPr>
              <w:t>5</w:t>
            </w:r>
          </w:p>
        </w:tc>
        <w:tc>
          <w:tcPr>
            <w:tcW w:w="1243" w:type="dxa"/>
            <w:vMerge/>
            <w:tcBorders>
              <w:left w:val="single" w:sz="4" w:space="0" w:color="auto"/>
              <w:right w:val="single" w:sz="4" w:space="0" w:color="auto"/>
            </w:tcBorders>
          </w:tcPr>
          <w:p w:rsidR="00E651AC" w:rsidRPr="00D50E91" w:rsidRDefault="00E651AC" w:rsidP="00BA45D4">
            <w:pPr>
              <w:autoSpaceDE w:val="0"/>
              <w:autoSpaceDN w:val="0"/>
              <w:adjustRightInd w:val="0"/>
              <w:ind w:left="56" w:right="56"/>
              <w:rPr>
                <w:sz w:val="20"/>
                <w:szCs w:val="20"/>
              </w:rPr>
            </w:pPr>
          </w:p>
        </w:tc>
        <w:tc>
          <w:tcPr>
            <w:tcW w:w="3955" w:type="dxa"/>
            <w:vMerge/>
            <w:tcBorders>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left="56" w:right="56"/>
              <w:rPr>
                <w:sz w:val="20"/>
              </w:rPr>
            </w:pPr>
          </w:p>
        </w:tc>
        <w:tc>
          <w:tcPr>
            <w:tcW w:w="1260"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right="56"/>
              <w:jc w:val="center"/>
              <w:rPr>
                <w:sz w:val="20"/>
                <w:szCs w:val="20"/>
              </w:rPr>
            </w:pPr>
            <w:r w:rsidRPr="00D50E91">
              <w:rPr>
                <w:sz w:val="20"/>
                <w:szCs w:val="20"/>
              </w:rPr>
              <w:t>&gt;10 m</w:t>
            </w:r>
          </w:p>
        </w:tc>
        <w:tc>
          <w:tcPr>
            <w:tcW w:w="1133"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left="56" w:right="56"/>
              <w:jc w:val="center"/>
              <w:rPr>
                <w:sz w:val="20"/>
                <w:szCs w:val="20"/>
              </w:rPr>
            </w:pPr>
            <w:r w:rsidRPr="00D50E91">
              <w:rPr>
                <w:sz w:val="20"/>
                <w:szCs w:val="20"/>
              </w:rPr>
              <w:t>+0,3</w:t>
            </w:r>
          </w:p>
        </w:tc>
        <w:tc>
          <w:tcPr>
            <w:tcW w:w="1275"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left="56" w:right="56"/>
              <w:jc w:val="center"/>
              <w:rPr>
                <w:sz w:val="20"/>
                <w:szCs w:val="20"/>
              </w:rPr>
            </w:pPr>
            <w:r w:rsidRPr="00D50E91">
              <w:rPr>
                <w:sz w:val="20"/>
                <w:szCs w:val="20"/>
              </w:rPr>
              <w:t>+0,5</w:t>
            </w:r>
          </w:p>
        </w:tc>
        <w:tc>
          <w:tcPr>
            <w:tcW w:w="1133"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left="56" w:right="56"/>
              <w:jc w:val="center"/>
              <w:rPr>
                <w:sz w:val="20"/>
                <w:szCs w:val="20"/>
              </w:rPr>
            </w:pPr>
            <w:r w:rsidRPr="00D50E91">
              <w:rPr>
                <w:sz w:val="20"/>
                <w:szCs w:val="20"/>
              </w:rPr>
              <w:t>+0,5</w:t>
            </w:r>
          </w:p>
        </w:tc>
        <w:tc>
          <w:tcPr>
            <w:tcW w:w="1138"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left="56" w:right="56"/>
              <w:jc w:val="center"/>
              <w:rPr>
                <w:sz w:val="20"/>
                <w:szCs w:val="20"/>
              </w:rPr>
            </w:pPr>
            <w:r w:rsidRPr="00D50E91">
              <w:rPr>
                <w:sz w:val="20"/>
                <w:szCs w:val="20"/>
              </w:rPr>
              <w:t>+0,5</w:t>
            </w:r>
          </w:p>
        </w:tc>
      </w:tr>
      <w:tr w:rsidR="00E651AC" w:rsidRPr="00D50E91" w:rsidTr="00BA45D4">
        <w:trPr>
          <w:trHeight w:val="461"/>
        </w:trPr>
        <w:tc>
          <w:tcPr>
            <w:tcW w:w="562" w:type="dxa"/>
            <w:tcBorders>
              <w:top w:val="single" w:sz="4" w:space="0" w:color="auto"/>
              <w:left w:val="single" w:sz="4" w:space="0" w:color="auto"/>
              <w:bottom w:val="single" w:sz="4" w:space="0" w:color="auto"/>
              <w:right w:val="single" w:sz="4" w:space="0" w:color="auto"/>
            </w:tcBorders>
          </w:tcPr>
          <w:p w:rsidR="00E651AC" w:rsidRPr="00D50E91" w:rsidRDefault="00886738" w:rsidP="00BA45D4">
            <w:pPr>
              <w:autoSpaceDE w:val="0"/>
              <w:autoSpaceDN w:val="0"/>
              <w:adjustRightInd w:val="0"/>
              <w:ind w:left="56" w:right="56"/>
              <w:jc w:val="center"/>
              <w:rPr>
                <w:sz w:val="20"/>
                <w:szCs w:val="20"/>
              </w:rPr>
            </w:pPr>
            <w:r w:rsidRPr="00D50E91">
              <w:rPr>
                <w:sz w:val="20"/>
                <w:szCs w:val="20"/>
              </w:rPr>
              <w:t xml:space="preserve"> </w:t>
            </w:r>
            <w:r w:rsidR="00E651AC" w:rsidRPr="00D50E91">
              <w:rPr>
                <w:sz w:val="20"/>
                <w:szCs w:val="20"/>
              </w:rPr>
              <w:t>6</w:t>
            </w:r>
          </w:p>
        </w:tc>
        <w:tc>
          <w:tcPr>
            <w:tcW w:w="1243" w:type="dxa"/>
            <w:vMerge/>
            <w:tcBorders>
              <w:left w:val="single" w:sz="4" w:space="0" w:color="auto"/>
              <w:right w:val="single" w:sz="4" w:space="0" w:color="auto"/>
            </w:tcBorders>
          </w:tcPr>
          <w:p w:rsidR="00E651AC" w:rsidRPr="00D50E91" w:rsidRDefault="00E651AC" w:rsidP="00BA45D4">
            <w:pPr>
              <w:autoSpaceDE w:val="0"/>
              <w:autoSpaceDN w:val="0"/>
              <w:adjustRightInd w:val="0"/>
              <w:ind w:left="56" w:right="56"/>
              <w:rPr>
                <w:sz w:val="20"/>
                <w:szCs w:val="20"/>
              </w:rPr>
            </w:pPr>
          </w:p>
        </w:tc>
        <w:tc>
          <w:tcPr>
            <w:tcW w:w="3955" w:type="dxa"/>
            <w:vMerge w:val="restart"/>
            <w:tcBorders>
              <w:top w:val="single" w:sz="4" w:space="0" w:color="auto"/>
              <w:left w:val="single" w:sz="4" w:space="0" w:color="auto"/>
              <w:right w:val="single" w:sz="4" w:space="0" w:color="auto"/>
            </w:tcBorders>
          </w:tcPr>
          <w:p w:rsidR="00E651AC" w:rsidRPr="00D50E91" w:rsidRDefault="00E651AC" w:rsidP="00886738">
            <w:pPr>
              <w:autoSpaceDE w:val="0"/>
              <w:autoSpaceDN w:val="0"/>
              <w:adjustRightInd w:val="0"/>
              <w:ind w:left="56" w:right="56"/>
              <w:rPr>
                <w:sz w:val="20"/>
                <w:szCs w:val="20"/>
              </w:rPr>
            </w:pPr>
            <w:r w:rsidRPr="00D50E91">
              <w:rPr>
                <w:sz w:val="20"/>
              </w:rPr>
              <w:t>ipari, mezőgazdasági, tárolási alaprendeltetés esetén, tűzjelző és tűzoltó berendezéssel és hő</w:t>
            </w:r>
            <w:r w:rsidR="003528A8">
              <w:rPr>
                <w:sz w:val="20"/>
              </w:rPr>
              <w:t>-</w:t>
            </w:r>
            <w:r w:rsidRPr="00D50E91">
              <w:rPr>
                <w:sz w:val="20"/>
              </w:rPr>
              <w:t xml:space="preserve"> és füstelvezetéssel ellátott térben, ha a helyiség alapterülete meghaladja az 5</w:t>
            </w:r>
            <w:r w:rsidR="00886738" w:rsidRPr="00D50E91">
              <w:rPr>
                <w:sz w:val="20"/>
              </w:rPr>
              <w:t> </w:t>
            </w:r>
            <w:r w:rsidRPr="00D50E91">
              <w:rPr>
                <w:sz w:val="20"/>
              </w:rPr>
              <w:t>000</w:t>
            </w:r>
            <w:r w:rsidR="00886738" w:rsidRPr="00D50E91">
              <w:rPr>
                <w:sz w:val="20"/>
              </w:rPr>
              <w:t xml:space="preserve"> </w:t>
            </w:r>
            <w:r w:rsidRPr="00D50E91">
              <w:rPr>
                <w:sz w:val="20"/>
              </w:rPr>
              <w:t>m</w:t>
            </w:r>
            <w:r w:rsidRPr="00D50E91">
              <w:rPr>
                <w:sz w:val="20"/>
                <w:vertAlign w:val="superscript"/>
              </w:rPr>
              <w:t>2</w:t>
            </w:r>
            <w:r w:rsidR="003528A8">
              <w:rPr>
                <w:sz w:val="20"/>
              </w:rPr>
              <w:t>-</w:t>
            </w:r>
            <w:r w:rsidRPr="00D50E91">
              <w:rPr>
                <w:sz w:val="20"/>
              </w:rPr>
              <w:t>t, de legfeljebb 10</w:t>
            </w:r>
            <w:r w:rsidR="00886738" w:rsidRPr="00D50E91">
              <w:rPr>
                <w:sz w:val="20"/>
              </w:rPr>
              <w:t> </w:t>
            </w:r>
            <w:r w:rsidRPr="00D50E91">
              <w:rPr>
                <w:sz w:val="20"/>
              </w:rPr>
              <w:t>000</w:t>
            </w:r>
            <w:r w:rsidR="00886738" w:rsidRPr="00D50E91">
              <w:rPr>
                <w:sz w:val="20"/>
              </w:rPr>
              <w:t xml:space="preserve"> </w:t>
            </w:r>
            <w:r w:rsidRPr="00D50E91">
              <w:rPr>
                <w:sz w:val="20"/>
              </w:rPr>
              <w:t>m</w:t>
            </w:r>
            <w:r w:rsidRPr="00D50E91">
              <w:rPr>
                <w:sz w:val="20"/>
                <w:vertAlign w:val="superscript"/>
              </w:rPr>
              <w:t>2</w:t>
            </w:r>
            <w:r w:rsidRPr="00D50E91">
              <w:rPr>
                <w:sz w:val="20"/>
              </w:rPr>
              <w:t>, és a kiürítési útvonalon biztonsági világítás és menekülési jelek létesülnek</w:t>
            </w:r>
          </w:p>
        </w:tc>
        <w:tc>
          <w:tcPr>
            <w:tcW w:w="1260"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right="56"/>
              <w:jc w:val="center"/>
              <w:rPr>
                <w:sz w:val="20"/>
                <w:szCs w:val="20"/>
              </w:rPr>
            </w:pPr>
            <w:r w:rsidRPr="00D50E91">
              <w:rPr>
                <w:sz w:val="20"/>
                <w:szCs w:val="20"/>
              </w:rPr>
              <w:t>4</w:t>
            </w:r>
            <w:r w:rsidR="003528A8">
              <w:rPr>
                <w:sz w:val="20"/>
                <w:szCs w:val="20"/>
              </w:rPr>
              <w:t>-</w:t>
            </w:r>
            <w:r w:rsidRPr="00D50E91">
              <w:rPr>
                <w:sz w:val="20"/>
                <w:szCs w:val="20"/>
              </w:rPr>
              <w:t>7 m</w:t>
            </w:r>
          </w:p>
        </w:tc>
        <w:tc>
          <w:tcPr>
            <w:tcW w:w="1133"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left="56" w:right="56"/>
              <w:jc w:val="center"/>
              <w:rPr>
                <w:sz w:val="20"/>
                <w:szCs w:val="20"/>
              </w:rPr>
            </w:pPr>
            <w:r w:rsidRPr="00D50E91">
              <w:rPr>
                <w:sz w:val="20"/>
                <w:szCs w:val="20"/>
              </w:rPr>
              <w:t>+0,5</w:t>
            </w:r>
          </w:p>
        </w:tc>
        <w:tc>
          <w:tcPr>
            <w:tcW w:w="1275"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left="56" w:right="56"/>
              <w:jc w:val="center"/>
              <w:rPr>
                <w:sz w:val="20"/>
                <w:szCs w:val="20"/>
              </w:rPr>
            </w:pPr>
            <w:r w:rsidRPr="00D50E91">
              <w:rPr>
                <w:sz w:val="20"/>
                <w:szCs w:val="20"/>
              </w:rPr>
              <w:t>+0,7</w:t>
            </w:r>
          </w:p>
        </w:tc>
        <w:tc>
          <w:tcPr>
            <w:tcW w:w="1133"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left="56" w:right="56"/>
              <w:jc w:val="center"/>
              <w:rPr>
                <w:sz w:val="20"/>
                <w:szCs w:val="20"/>
              </w:rPr>
            </w:pPr>
            <w:r w:rsidRPr="00D50E91">
              <w:rPr>
                <w:sz w:val="20"/>
                <w:szCs w:val="20"/>
              </w:rPr>
              <w:t>+0,7</w:t>
            </w:r>
          </w:p>
        </w:tc>
        <w:tc>
          <w:tcPr>
            <w:tcW w:w="1138"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left="56" w:right="56"/>
              <w:jc w:val="center"/>
              <w:rPr>
                <w:sz w:val="20"/>
                <w:szCs w:val="20"/>
              </w:rPr>
            </w:pPr>
            <w:r w:rsidRPr="00D50E91">
              <w:rPr>
                <w:sz w:val="20"/>
                <w:szCs w:val="20"/>
              </w:rPr>
              <w:t>+0,7</w:t>
            </w:r>
          </w:p>
        </w:tc>
      </w:tr>
      <w:tr w:rsidR="00E651AC" w:rsidRPr="00D50E91" w:rsidTr="00BA45D4">
        <w:trPr>
          <w:trHeight w:val="518"/>
        </w:trPr>
        <w:tc>
          <w:tcPr>
            <w:tcW w:w="562" w:type="dxa"/>
            <w:tcBorders>
              <w:top w:val="single" w:sz="4" w:space="0" w:color="auto"/>
              <w:left w:val="single" w:sz="4" w:space="0" w:color="auto"/>
              <w:bottom w:val="single" w:sz="4" w:space="0" w:color="auto"/>
              <w:right w:val="single" w:sz="4" w:space="0" w:color="auto"/>
            </w:tcBorders>
          </w:tcPr>
          <w:p w:rsidR="00E651AC" w:rsidRPr="00D50E91" w:rsidRDefault="00886738" w:rsidP="00BA45D4">
            <w:pPr>
              <w:autoSpaceDE w:val="0"/>
              <w:autoSpaceDN w:val="0"/>
              <w:adjustRightInd w:val="0"/>
              <w:ind w:left="56" w:right="56"/>
              <w:jc w:val="center"/>
              <w:rPr>
                <w:sz w:val="20"/>
                <w:szCs w:val="20"/>
              </w:rPr>
            </w:pPr>
            <w:r w:rsidRPr="00D50E91">
              <w:rPr>
                <w:sz w:val="20"/>
                <w:szCs w:val="20"/>
              </w:rPr>
              <w:t xml:space="preserve"> </w:t>
            </w:r>
            <w:r w:rsidR="00E651AC" w:rsidRPr="00D50E91">
              <w:rPr>
                <w:sz w:val="20"/>
                <w:szCs w:val="20"/>
              </w:rPr>
              <w:t>7</w:t>
            </w:r>
          </w:p>
        </w:tc>
        <w:tc>
          <w:tcPr>
            <w:tcW w:w="1243" w:type="dxa"/>
            <w:vMerge/>
            <w:tcBorders>
              <w:left w:val="single" w:sz="4" w:space="0" w:color="auto"/>
              <w:right w:val="single" w:sz="4" w:space="0" w:color="auto"/>
            </w:tcBorders>
          </w:tcPr>
          <w:p w:rsidR="00E651AC" w:rsidRPr="00D50E91" w:rsidRDefault="00E651AC" w:rsidP="00BA45D4">
            <w:pPr>
              <w:autoSpaceDE w:val="0"/>
              <w:autoSpaceDN w:val="0"/>
              <w:adjustRightInd w:val="0"/>
              <w:ind w:left="56" w:right="56"/>
              <w:rPr>
                <w:sz w:val="20"/>
                <w:szCs w:val="20"/>
              </w:rPr>
            </w:pPr>
          </w:p>
        </w:tc>
        <w:tc>
          <w:tcPr>
            <w:tcW w:w="3955" w:type="dxa"/>
            <w:vMerge/>
            <w:tcBorders>
              <w:left w:val="single" w:sz="4" w:space="0" w:color="auto"/>
              <w:right w:val="single" w:sz="4" w:space="0" w:color="auto"/>
            </w:tcBorders>
          </w:tcPr>
          <w:p w:rsidR="00E651AC" w:rsidRPr="00D50E91" w:rsidRDefault="00E651AC" w:rsidP="00BA45D4">
            <w:pPr>
              <w:autoSpaceDE w:val="0"/>
              <w:autoSpaceDN w:val="0"/>
              <w:adjustRightInd w:val="0"/>
              <w:ind w:left="56" w:right="56"/>
              <w:rPr>
                <w:sz w:val="20"/>
              </w:rPr>
            </w:pPr>
          </w:p>
        </w:tc>
        <w:tc>
          <w:tcPr>
            <w:tcW w:w="1260"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right="56"/>
              <w:jc w:val="center"/>
              <w:rPr>
                <w:sz w:val="20"/>
                <w:szCs w:val="20"/>
              </w:rPr>
            </w:pPr>
            <w:r w:rsidRPr="00D50E91">
              <w:rPr>
                <w:sz w:val="20"/>
              </w:rPr>
              <w:t>7</w:t>
            </w:r>
            <w:r w:rsidR="003528A8">
              <w:rPr>
                <w:sz w:val="20"/>
              </w:rPr>
              <w:t>-</w:t>
            </w:r>
            <w:r w:rsidRPr="00D50E91">
              <w:rPr>
                <w:sz w:val="20"/>
              </w:rPr>
              <w:t>10 m</w:t>
            </w:r>
          </w:p>
        </w:tc>
        <w:tc>
          <w:tcPr>
            <w:tcW w:w="1133"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left="56" w:right="56"/>
              <w:jc w:val="center"/>
              <w:rPr>
                <w:sz w:val="20"/>
                <w:szCs w:val="20"/>
              </w:rPr>
            </w:pPr>
            <w:r w:rsidRPr="00D50E91">
              <w:rPr>
                <w:sz w:val="20"/>
                <w:szCs w:val="20"/>
              </w:rPr>
              <w:t>+0,6</w:t>
            </w:r>
          </w:p>
        </w:tc>
        <w:tc>
          <w:tcPr>
            <w:tcW w:w="1275"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left="56" w:right="56"/>
              <w:jc w:val="center"/>
              <w:rPr>
                <w:sz w:val="20"/>
                <w:szCs w:val="20"/>
              </w:rPr>
            </w:pPr>
            <w:r w:rsidRPr="00D50E91">
              <w:rPr>
                <w:sz w:val="20"/>
                <w:szCs w:val="20"/>
              </w:rPr>
              <w:t>+0,8</w:t>
            </w:r>
          </w:p>
        </w:tc>
        <w:tc>
          <w:tcPr>
            <w:tcW w:w="1133"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left="56" w:right="56"/>
              <w:jc w:val="center"/>
              <w:rPr>
                <w:sz w:val="20"/>
                <w:szCs w:val="20"/>
              </w:rPr>
            </w:pPr>
            <w:r w:rsidRPr="00D50E91">
              <w:rPr>
                <w:sz w:val="20"/>
                <w:szCs w:val="20"/>
              </w:rPr>
              <w:t>+0,8</w:t>
            </w:r>
          </w:p>
        </w:tc>
        <w:tc>
          <w:tcPr>
            <w:tcW w:w="1138"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left="56" w:right="56"/>
              <w:jc w:val="center"/>
              <w:rPr>
                <w:sz w:val="20"/>
                <w:szCs w:val="20"/>
              </w:rPr>
            </w:pPr>
            <w:r w:rsidRPr="00D50E91">
              <w:rPr>
                <w:sz w:val="20"/>
                <w:szCs w:val="20"/>
              </w:rPr>
              <w:t>+0,8</w:t>
            </w:r>
          </w:p>
        </w:tc>
      </w:tr>
      <w:tr w:rsidR="00E651AC" w:rsidRPr="00D50E91" w:rsidTr="00BA45D4">
        <w:trPr>
          <w:trHeight w:val="380"/>
        </w:trPr>
        <w:tc>
          <w:tcPr>
            <w:tcW w:w="562" w:type="dxa"/>
            <w:tcBorders>
              <w:top w:val="single" w:sz="4" w:space="0" w:color="auto"/>
              <w:left w:val="single" w:sz="4" w:space="0" w:color="auto"/>
              <w:bottom w:val="single" w:sz="4" w:space="0" w:color="auto"/>
              <w:right w:val="single" w:sz="4" w:space="0" w:color="auto"/>
            </w:tcBorders>
          </w:tcPr>
          <w:p w:rsidR="00E651AC" w:rsidRPr="00D50E91" w:rsidRDefault="00886738" w:rsidP="00BA45D4">
            <w:pPr>
              <w:autoSpaceDE w:val="0"/>
              <w:autoSpaceDN w:val="0"/>
              <w:adjustRightInd w:val="0"/>
              <w:ind w:left="56" w:right="56"/>
              <w:jc w:val="center"/>
              <w:rPr>
                <w:sz w:val="20"/>
                <w:szCs w:val="20"/>
              </w:rPr>
            </w:pPr>
            <w:r w:rsidRPr="00D50E91">
              <w:rPr>
                <w:sz w:val="20"/>
                <w:szCs w:val="20"/>
              </w:rPr>
              <w:t xml:space="preserve"> </w:t>
            </w:r>
            <w:r w:rsidR="00E651AC" w:rsidRPr="00D50E91">
              <w:rPr>
                <w:sz w:val="20"/>
                <w:szCs w:val="20"/>
              </w:rPr>
              <w:t>8</w:t>
            </w:r>
          </w:p>
        </w:tc>
        <w:tc>
          <w:tcPr>
            <w:tcW w:w="1243" w:type="dxa"/>
            <w:vMerge/>
            <w:tcBorders>
              <w:left w:val="single" w:sz="4" w:space="0" w:color="auto"/>
              <w:right w:val="single" w:sz="4" w:space="0" w:color="auto"/>
            </w:tcBorders>
          </w:tcPr>
          <w:p w:rsidR="00E651AC" w:rsidRPr="00D50E91" w:rsidRDefault="00E651AC" w:rsidP="00BA45D4">
            <w:pPr>
              <w:autoSpaceDE w:val="0"/>
              <w:autoSpaceDN w:val="0"/>
              <w:adjustRightInd w:val="0"/>
              <w:ind w:left="56" w:right="56"/>
              <w:rPr>
                <w:sz w:val="20"/>
                <w:szCs w:val="20"/>
              </w:rPr>
            </w:pPr>
          </w:p>
        </w:tc>
        <w:tc>
          <w:tcPr>
            <w:tcW w:w="3955" w:type="dxa"/>
            <w:vMerge/>
            <w:tcBorders>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left="56" w:right="56"/>
              <w:rPr>
                <w:sz w:val="20"/>
              </w:rPr>
            </w:pPr>
          </w:p>
        </w:tc>
        <w:tc>
          <w:tcPr>
            <w:tcW w:w="1260"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right="56"/>
              <w:jc w:val="center"/>
              <w:rPr>
                <w:sz w:val="20"/>
                <w:szCs w:val="20"/>
              </w:rPr>
            </w:pPr>
            <w:r w:rsidRPr="00D50E91">
              <w:rPr>
                <w:sz w:val="20"/>
                <w:szCs w:val="20"/>
              </w:rPr>
              <w:t>&gt;10 m</w:t>
            </w:r>
          </w:p>
        </w:tc>
        <w:tc>
          <w:tcPr>
            <w:tcW w:w="1133"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left="56" w:right="56"/>
              <w:jc w:val="center"/>
              <w:rPr>
                <w:sz w:val="20"/>
                <w:szCs w:val="20"/>
              </w:rPr>
            </w:pPr>
            <w:r w:rsidRPr="00D50E91">
              <w:rPr>
                <w:sz w:val="20"/>
                <w:szCs w:val="20"/>
              </w:rPr>
              <w:t>+0,7</w:t>
            </w:r>
          </w:p>
        </w:tc>
        <w:tc>
          <w:tcPr>
            <w:tcW w:w="1275"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left="56" w:right="56"/>
              <w:jc w:val="center"/>
              <w:rPr>
                <w:sz w:val="20"/>
                <w:szCs w:val="20"/>
              </w:rPr>
            </w:pPr>
            <w:r w:rsidRPr="00D50E91">
              <w:rPr>
                <w:sz w:val="20"/>
                <w:szCs w:val="20"/>
              </w:rPr>
              <w:t>+1,0</w:t>
            </w:r>
          </w:p>
        </w:tc>
        <w:tc>
          <w:tcPr>
            <w:tcW w:w="1133"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left="56" w:right="56"/>
              <w:jc w:val="center"/>
              <w:rPr>
                <w:sz w:val="20"/>
                <w:szCs w:val="20"/>
              </w:rPr>
            </w:pPr>
            <w:r w:rsidRPr="00D50E91">
              <w:rPr>
                <w:sz w:val="20"/>
                <w:szCs w:val="20"/>
              </w:rPr>
              <w:t>+1,0</w:t>
            </w:r>
          </w:p>
        </w:tc>
        <w:tc>
          <w:tcPr>
            <w:tcW w:w="1138"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left="56" w:right="56"/>
              <w:jc w:val="center"/>
              <w:rPr>
                <w:sz w:val="20"/>
                <w:szCs w:val="20"/>
              </w:rPr>
            </w:pPr>
            <w:r w:rsidRPr="00D50E91">
              <w:rPr>
                <w:sz w:val="20"/>
                <w:szCs w:val="20"/>
              </w:rPr>
              <w:t>+1,0</w:t>
            </w:r>
          </w:p>
        </w:tc>
      </w:tr>
      <w:tr w:rsidR="00E651AC" w:rsidRPr="00D50E91" w:rsidTr="00BA45D4">
        <w:trPr>
          <w:trHeight w:val="334"/>
        </w:trPr>
        <w:tc>
          <w:tcPr>
            <w:tcW w:w="562" w:type="dxa"/>
            <w:vMerge w:val="restart"/>
            <w:tcBorders>
              <w:top w:val="single" w:sz="4" w:space="0" w:color="auto"/>
              <w:left w:val="single" w:sz="4" w:space="0" w:color="auto"/>
              <w:right w:val="single" w:sz="4" w:space="0" w:color="auto"/>
            </w:tcBorders>
          </w:tcPr>
          <w:p w:rsidR="00E651AC" w:rsidRPr="00D50E91" w:rsidRDefault="00886738" w:rsidP="00BA45D4">
            <w:pPr>
              <w:autoSpaceDE w:val="0"/>
              <w:autoSpaceDN w:val="0"/>
              <w:adjustRightInd w:val="0"/>
              <w:ind w:left="56" w:right="56"/>
              <w:jc w:val="center"/>
              <w:rPr>
                <w:sz w:val="20"/>
                <w:szCs w:val="20"/>
              </w:rPr>
            </w:pPr>
            <w:r w:rsidRPr="00D50E91">
              <w:rPr>
                <w:sz w:val="20"/>
                <w:szCs w:val="20"/>
              </w:rPr>
              <w:t xml:space="preserve"> </w:t>
            </w:r>
            <w:r w:rsidR="00E651AC" w:rsidRPr="00D50E91">
              <w:rPr>
                <w:sz w:val="20"/>
                <w:szCs w:val="20"/>
              </w:rPr>
              <w:t>9</w:t>
            </w:r>
          </w:p>
        </w:tc>
        <w:tc>
          <w:tcPr>
            <w:tcW w:w="1243" w:type="dxa"/>
            <w:vMerge/>
            <w:tcBorders>
              <w:left w:val="single" w:sz="4" w:space="0" w:color="auto"/>
              <w:right w:val="single" w:sz="4" w:space="0" w:color="auto"/>
            </w:tcBorders>
          </w:tcPr>
          <w:p w:rsidR="00E651AC" w:rsidRPr="00D50E91" w:rsidRDefault="00E651AC" w:rsidP="00BA45D4">
            <w:pPr>
              <w:autoSpaceDE w:val="0"/>
              <w:autoSpaceDN w:val="0"/>
              <w:adjustRightInd w:val="0"/>
              <w:ind w:left="56" w:right="56"/>
              <w:rPr>
                <w:sz w:val="20"/>
                <w:szCs w:val="20"/>
              </w:rPr>
            </w:pPr>
          </w:p>
        </w:tc>
        <w:tc>
          <w:tcPr>
            <w:tcW w:w="3955" w:type="dxa"/>
            <w:vMerge w:val="restart"/>
            <w:tcBorders>
              <w:top w:val="single" w:sz="4" w:space="0" w:color="auto"/>
              <w:left w:val="single" w:sz="4" w:space="0" w:color="auto"/>
              <w:right w:val="single" w:sz="4" w:space="0" w:color="auto"/>
            </w:tcBorders>
          </w:tcPr>
          <w:p w:rsidR="00E651AC" w:rsidRPr="00D50E91" w:rsidRDefault="00E651AC" w:rsidP="00886738">
            <w:pPr>
              <w:autoSpaceDE w:val="0"/>
              <w:autoSpaceDN w:val="0"/>
              <w:adjustRightInd w:val="0"/>
              <w:ind w:left="56" w:right="56"/>
              <w:rPr>
                <w:sz w:val="20"/>
                <w:szCs w:val="20"/>
              </w:rPr>
            </w:pPr>
            <w:r w:rsidRPr="00D50E91">
              <w:rPr>
                <w:sz w:val="20"/>
              </w:rPr>
              <w:t>ipari, mezőgazdasági, tárolási alaprendeltetés esetén, tűzjelző és tűzoltó berendezéssel és hő</w:t>
            </w:r>
            <w:r w:rsidR="003528A8">
              <w:rPr>
                <w:sz w:val="20"/>
              </w:rPr>
              <w:t>-</w:t>
            </w:r>
            <w:r w:rsidRPr="00D50E91">
              <w:rPr>
                <w:sz w:val="20"/>
              </w:rPr>
              <w:t xml:space="preserve"> és füstelvezetéssel ellátott térben, ha a helyiség alapterülete meghaladja a 10</w:t>
            </w:r>
            <w:r w:rsidR="00886738" w:rsidRPr="00D50E91">
              <w:rPr>
                <w:sz w:val="20"/>
              </w:rPr>
              <w:t> </w:t>
            </w:r>
            <w:r w:rsidRPr="00D50E91">
              <w:rPr>
                <w:sz w:val="20"/>
              </w:rPr>
              <w:t>000</w:t>
            </w:r>
            <w:r w:rsidR="00886738" w:rsidRPr="00D50E91">
              <w:rPr>
                <w:sz w:val="20"/>
              </w:rPr>
              <w:t xml:space="preserve"> </w:t>
            </w:r>
            <w:r w:rsidRPr="00D50E91">
              <w:rPr>
                <w:sz w:val="20"/>
              </w:rPr>
              <w:t>m</w:t>
            </w:r>
            <w:r w:rsidRPr="00D50E91">
              <w:rPr>
                <w:sz w:val="20"/>
                <w:vertAlign w:val="superscript"/>
              </w:rPr>
              <w:t>2</w:t>
            </w:r>
            <w:r w:rsidR="003528A8">
              <w:rPr>
                <w:sz w:val="20"/>
              </w:rPr>
              <w:t>-</w:t>
            </w:r>
            <w:r w:rsidRPr="00D50E91">
              <w:rPr>
                <w:sz w:val="20"/>
              </w:rPr>
              <w:t>t, és a kiürítési útvonalon biztonsági világítás és menekülési jelek létesülnek</w:t>
            </w:r>
          </w:p>
        </w:tc>
        <w:tc>
          <w:tcPr>
            <w:tcW w:w="1260"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right="56"/>
              <w:jc w:val="center"/>
              <w:rPr>
                <w:sz w:val="20"/>
                <w:szCs w:val="20"/>
              </w:rPr>
            </w:pPr>
            <w:r w:rsidRPr="00D50E91">
              <w:rPr>
                <w:sz w:val="20"/>
                <w:szCs w:val="20"/>
              </w:rPr>
              <w:t>4</w:t>
            </w:r>
            <w:r w:rsidR="003528A8">
              <w:rPr>
                <w:sz w:val="20"/>
                <w:szCs w:val="20"/>
              </w:rPr>
              <w:t>-</w:t>
            </w:r>
            <w:r w:rsidRPr="00D50E91">
              <w:rPr>
                <w:sz w:val="20"/>
                <w:szCs w:val="20"/>
              </w:rPr>
              <w:t>7 m</w:t>
            </w:r>
          </w:p>
        </w:tc>
        <w:tc>
          <w:tcPr>
            <w:tcW w:w="1133"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left="56" w:right="56"/>
              <w:jc w:val="center"/>
              <w:rPr>
                <w:sz w:val="20"/>
                <w:szCs w:val="20"/>
              </w:rPr>
            </w:pPr>
            <w:r w:rsidRPr="00D50E91">
              <w:rPr>
                <w:sz w:val="20"/>
                <w:szCs w:val="20"/>
              </w:rPr>
              <w:t>+0,5</w:t>
            </w:r>
          </w:p>
        </w:tc>
        <w:tc>
          <w:tcPr>
            <w:tcW w:w="1275"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left="56" w:right="56"/>
              <w:jc w:val="center"/>
              <w:rPr>
                <w:sz w:val="20"/>
                <w:szCs w:val="20"/>
              </w:rPr>
            </w:pPr>
            <w:r w:rsidRPr="00D50E91">
              <w:rPr>
                <w:sz w:val="20"/>
                <w:szCs w:val="20"/>
              </w:rPr>
              <w:t>+0,7</w:t>
            </w:r>
          </w:p>
        </w:tc>
        <w:tc>
          <w:tcPr>
            <w:tcW w:w="1133"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left="56" w:right="56"/>
              <w:jc w:val="center"/>
              <w:rPr>
                <w:sz w:val="20"/>
                <w:szCs w:val="20"/>
              </w:rPr>
            </w:pPr>
            <w:r w:rsidRPr="00D50E91">
              <w:rPr>
                <w:sz w:val="20"/>
                <w:szCs w:val="20"/>
              </w:rPr>
              <w:t>+0,7</w:t>
            </w:r>
          </w:p>
        </w:tc>
        <w:tc>
          <w:tcPr>
            <w:tcW w:w="1138"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left="56" w:right="56"/>
              <w:jc w:val="center"/>
              <w:rPr>
                <w:sz w:val="20"/>
                <w:szCs w:val="20"/>
              </w:rPr>
            </w:pPr>
            <w:r w:rsidRPr="00D50E91">
              <w:rPr>
                <w:sz w:val="20"/>
                <w:szCs w:val="20"/>
              </w:rPr>
              <w:t>+0,7</w:t>
            </w:r>
          </w:p>
        </w:tc>
      </w:tr>
      <w:tr w:rsidR="00E651AC" w:rsidRPr="00D50E91" w:rsidTr="00BA45D4">
        <w:trPr>
          <w:trHeight w:val="230"/>
        </w:trPr>
        <w:tc>
          <w:tcPr>
            <w:tcW w:w="562" w:type="dxa"/>
            <w:vMerge/>
            <w:tcBorders>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left="56" w:right="56"/>
              <w:jc w:val="center"/>
              <w:rPr>
                <w:sz w:val="20"/>
                <w:szCs w:val="20"/>
              </w:rPr>
            </w:pPr>
          </w:p>
        </w:tc>
        <w:tc>
          <w:tcPr>
            <w:tcW w:w="1243" w:type="dxa"/>
            <w:vMerge/>
            <w:tcBorders>
              <w:left w:val="single" w:sz="4" w:space="0" w:color="auto"/>
              <w:right w:val="single" w:sz="4" w:space="0" w:color="auto"/>
            </w:tcBorders>
          </w:tcPr>
          <w:p w:rsidR="00E651AC" w:rsidRPr="00D50E91" w:rsidRDefault="00E651AC" w:rsidP="00BA45D4">
            <w:pPr>
              <w:autoSpaceDE w:val="0"/>
              <w:autoSpaceDN w:val="0"/>
              <w:adjustRightInd w:val="0"/>
              <w:ind w:left="56" w:right="56"/>
              <w:rPr>
                <w:sz w:val="20"/>
                <w:szCs w:val="20"/>
              </w:rPr>
            </w:pPr>
          </w:p>
        </w:tc>
        <w:tc>
          <w:tcPr>
            <w:tcW w:w="3955" w:type="dxa"/>
            <w:vMerge/>
            <w:tcBorders>
              <w:left w:val="single" w:sz="4" w:space="0" w:color="auto"/>
              <w:right w:val="single" w:sz="4" w:space="0" w:color="auto"/>
            </w:tcBorders>
          </w:tcPr>
          <w:p w:rsidR="00E651AC" w:rsidRPr="00D50E91" w:rsidRDefault="00E651AC" w:rsidP="00BA45D4">
            <w:pPr>
              <w:autoSpaceDE w:val="0"/>
              <w:autoSpaceDN w:val="0"/>
              <w:adjustRightInd w:val="0"/>
              <w:ind w:left="56" w:right="56"/>
              <w:rPr>
                <w:sz w:val="20"/>
              </w:rPr>
            </w:pPr>
          </w:p>
        </w:tc>
        <w:tc>
          <w:tcPr>
            <w:tcW w:w="1260" w:type="dxa"/>
            <w:vMerge w:val="restart"/>
            <w:tcBorders>
              <w:top w:val="single" w:sz="4" w:space="0" w:color="auto"/>
              <w:left w:val="single" w:sz="4" w:space="0" w:color="auto"/>
              <w:right w:val="single" w:sz="4" w:space="0" w:color="auto"/>
            </w:tcBorders>
          </w:tcPr>
          <w:p w:rsidR="00E651AC" w:rsidRPr="00D50E91" w:rsidRDefault="00E651AC" w:rsidP="00BA45D4">
            <w:pPr>
              <w:autoSpaceDE w:val="0"/>
              <w:autoSpaceDN w:val="0"/>
              <w:adjustRightInd w:val="0"/>
              <w:ind w:right="56"/>
              <w:jc w:val="center"/>
              <w:rPr>
                <w:sz w:val="20"/>
                <w:szCs w:val="20"/>
              </w:rPr>
            </w:pPr>
            <w:r w:rsidRPr="00D50E91">
              <w:rPr>
                <w:sz w:val="20"/>
              </w:rPr>
              <w:t>7</w:t>
            </w:r>
            <w:r w:rsidR="003528A8">
              <w:rPr>
                <w:sz w:val="20"/>
              </w:rPr>
              <w:t>-</w:t>
            </w:r>
            <w:r w:rsidRPr="00D50E91">
              <w:rPr>
                <w:sz w:val="20"/>
              </w:rPr>
              <w:t>10 m</w:t>
            </w:r>
          </w:p>
        </w:tc>
        <w:tc>
          <w:tcPr>
            <w:tcW w:w="1133" w:type="dxa"/>
            <w:vMerge w:val="restart"/>
            <w:tcBorders>
              <w:top w:val="single" w:sz="4" w:space="0" w:color="auto"/>
              <w:left w:val="single" w:sz="4" w:space="0" w:color="auto"/>
              <w:right w:val="single" w:sz="4" w:space="0" w:color="auto"/>
            </w:tcBorders>
          </w:tcPr>
          <w:p w:rsidR="00E651AC" w:rsidRPr="00D50E91" w:rsidRDefault="00E651AC" w:rsidP="00BA45D4">
            <w:pPr>
              <w:autoSpaceDE w:val="0"/>
              <w:autoSpaceDN w:val="0"/>
              <w:adjustRightInd w:val="0"/>
              <w:ind w:left="56" w:right="56"/>
              <w:jc w:val="center"/>
              <w:rPr>
                <w:sz w:val="20"/>
                <w:szCs w:val="20"/>
              </w:rPr>
            </w:pPr>
            <w:r w:rsidRPr="00D50E91">
              <w:rPr>
                <w:sz w:val="20"/>
                <w:szCs w:val="20"/>
              </w:rPr>
              <w:t>+1,0</w:t>
            </w:r>
          </w:p>
        </w:tc>
        <w:tc>
          <w:tcPr>
            <w:tcW w:w="1275" w:type="dxa"/>
            <w:vMerge w:val="restart"/>
            <w:tcBorders>
              <w:top w:val="single" w:sz="4" w:space="0" w:color="auto"/>
              <w:left w:val="single" w:sz="4" w:space="0" w:color="auto"/>
              <w:right w:val="single" w:sz="4" w:space="0" w:color="auto"/>
            </w:tcBorders>
          </w:tcPr>
          <w:p w:rsidR="00E651AC" w:rsidRPr="00D50E91" w:rsidRDefault="00E651AC" w:rsidP="00BA45D4">
            <w:pPr>
              <w:autoSpaceDE w:val="0"/>
              <w:autoSpaceDN w:val="0"/>
              <w:adjustRightInd w:val="0"/>
              <w:ind w:left="56" w:right="56"/>
              <w:jc w:val="center"/>
              <w:rPr>
                <w:sz w:val="20"/>
                <w:szCs w:val="20"/>
              </w:rPr>
            </w:pPr>
            <w:r w:rsidRPr="00D50E91">
              <w:rPr>
                <w:sz w:val="20"/>
                <w:szCs w:val="20"/>
              </w:rPr>
              <w:t>+1,3</w:t>
            </w:r>
          </w:p>
        </w:tc>
        <w:tc>
          <w:tcPr>
            <w:tcW w:w="1133" w:type="dxa"/>
            <w:vMerge w:val="restart"/>
            <w:tcBorders>
              <w:top w:val="single" w:sz="4" w:space="0" w:color="auto"/>
              <w:left w:val="single" w:sz="4" w:space="0" w:color="auto"/>
              <w:right w:val="single" w:sz="4" w:space="0" w:color="auto"/>
            </w:tcBorders>
          </w:tcPr>
          <w:p w:rsidR="00E651AC" w:rsidRPr="00D50E91" w:rsidRDefault="00E651AC" w:rsidP="00BA45D4">
            <w:pPr>
              <w:autoSpaceDE w:val="0"/>
              <w:autoSpaceDN w:val="0"/>
              <w:adjustRightInd w:val="0"/>
              <w:ind w:left="56" w:right="56"/>
              <w:jc w:val="center"/>
              <w:rPr>
                <w:sz w:val="20"/>
                <w:szCs w:val="20"/>
              </w:rPr>
            </w:pPr>
            <w:r w:rsidRPr="00D50E91">
              <w:rPr>
                <w:sz w:val="20"/>
                <w:szCs w:val="20"/>
              </w:rPr>
              <w:t>+1,3</w:t>
            </w:r>
          </w:p>
        </w:tc>
        <w:tc>
          <w:tcPr>
            <w:tcW w:w="1138" w:type="dxa"/>
            <w:vMerge w:val="restart"/>
            <w:tcBorders>
              <w:top w:val="single" w:sz="4" w:space="0" w:color="auto"/>
              <w:left w:val="single" w:sz="4" w:space="0" w:color="auto"/>
              <w:right w:val="single" w:sz="4" w:space="0" w:color="auto"/>
            </w:tcBorders>
          </w:tcPr>
          <w:p w:rsidR="00E651AC" w:rsidRPr="00D50E91" w:rsidRDefault="00E651AC" w:rsidP="00BA45D4">
            <w:pPr>
              <w:autoSpaceDE w:val="0"/>
              <w:autoSpaceDN w:val="0"/>
              <w:adjustRightInd w:val="0"/>
              <w:ind w:left="56" w:right="56"/>
              <w:jc w:val="center"/>
              <w:rPr>
                <w:sz w:val="20"/>
                <w:szCs w:val="20"/>
              </w:rPr>
            </w:pPr>
            <w:r w:rsidRPr="00D50E91">
              <w:rPr>
                <w:sz w:val="20"/>
                <w:szCs w:val="20"/>
              </w:rPr>
              <w:t>+1,3</w:t>
            </w:r>
          </w:p>
        </w:tc>
      </w:tr>
      <w:tr w:rsidR="00E651AC" w:rsidRPr="00D50E91" w:rsidTr="00BA45D4">
        <w:trPr>
          <w:trHeight w:val="382"/>
        </w:trPr>
        <w:tc>
          <w:tcPr>
            <w:tcW w:w="562" w:type="dxa"/>
            <w:tcBorders>
              <w:top w:val="single" w:sz="4" w:space="0" w:color="auto"/>
              <w:left w:val="single" w:sz="4" w:space="0" w:color="auto"/>
              <w:bottom w:val="single" w:sz="4" w:space="0" w:color="auto"/>
              <w:right w:val="single" w:sz="4" w:space="0" w:color="auto"/>
            </w:tcBorders>
          </w:tcPr>
          <w:p w:rsidR="00E651AC" w:rsidRPr="00D50E91" w:rsidRDefault="00886738" w:rsidP="00BA45D4">
            <w:pPr>
              <w:autoSpaceDE w:val="0"/>
              <w:autoSpaceDN w:val="0"/>
              <w:adjustRightInd w:val="0"/>
              <w:ind w:left="56" w:right="56"/>
              <w:jc w:val="center"/>
              <w:rPr>
                <w:sz w:val="20"/>
                <w:szCs w:val="20"/>
              </w:rPr>
            </w:pPr>
            <w:r w:rsidRPr="00D50E91">
              <w:rPr>
                <w:sz w:val="20"/>
                <w:szCs w:val="20"/>
              </w:rPr>
              <w:t xml:space="preserve"> </w:t>
            </w:r>
            <w:r w:rsidR="00E651AC" w:rsidRPr="00D50E91">
              <w:rPr>
                <w:sz w:val="20"/>
                <w:szCs w:val="20"/>
              </w:rPr>
              <w:t>10</w:t>
            </w:r>
          </w:p>
        </w:tc>
        <w:tc>
          <w:tcPr>
            <w:tcW w:w="1243" w:type="dxa"/>
            <w:vMerge/>
            <w:tcBorders>
              <w:left w:val="single" w:sz="4" w:space="0" w:color="auto"/>
              <w:right w:val="single" w:sz="4" w:space="0" w:color="auto"/>
            </w:tcBorders>
          </w:tcPr>
          <w:p w:rsidR="00E651AC" w:rsidRPr="00D50E91" w:rsidRDefault="00E651AC" w:rsidP="00BA45D4">
            <w:pPr>
              <w:autoSpaceDE w:val="0"/>
              <w:autoSpaceDN w:val="0"/>
              <w:adjustRightInd w:val="0"/>
              <w:ind w:left="56" w:right="56"/>
              <w:rPr>
                <w:sz w:val="20"/>
                <w:szCs w:val="20"/>
              </w:rPr>
            </w:pPr>
          </w:p>
        </w:tc>
        <w:tc>
          <w:tcPr>
            <w:tcW w:w="3955" w:type="dxa"/>
            <w:vMerge/>
            <w:tcBorders>
              <w:left w:val="single" w:sz="4" w:space="0" w:color="auto"/>
              <w:right w:val="single" w:sz="4" w:space="0" w:color="auto"/>
            </w:tcBorders>
          </w:tcPr>
          <w:p w:rsidR="00E651AC" w:rsidRPr="00D50E91" w:rsidRDefault="00E651AC" w:rsidP="00BA45D4">
            <w:pPr>
              <w:autoSpaceDE w:val="0"/>
              <w:autoSpaceDN w:val="0"/>
              <w:adjustRightInd w:val="0"/>
              <w:ind w:left="56" w:right="56"/>
              <w:rPr>
                <w:sz w:val="20"/>
              </w:rPr>
            </w:pPr>
          </w:p>
        </w:tc>
        <w:tc>
          <w:tcPr>
            <w:tcW w:w="1260" w:type="dxa"/>
            <w:vMerge/>
            <w:tcBorders>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right="56"/>
              <w:jc w:val="center"/>
              <w:rPr>
                <w:sz w:val="20"/>
              </w:rPr>
            </w:pPr>
          </w:p>
        </w:tc>
        <w:tc>
          <w:tcPr>
            <w:tcW w:w="1133" w:type="dxa"/>
            <w:vMerge/>
            <w:tcBorders>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left="56" w:right="56"/>
              <w:jc w:val="center"/>
              <w:rPr>
                <w:sz w:val="20"/>
                <w:szCs w:val="20"/>
              </w:rPr>
            </w:pPr>
          </w:p>
        </w:tc>
        <w:tc>
          <w:tcPr>
            <w:tcW w:w="1275" w:type="dxa"/>
            <w:vMerge/>
            <w:tcBorders>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left="56" w:right="56"/>
              <w:jc w:val="center"/>
              <w:rPr>
                <w:sz w:val="20"/>
                <w:szCs w:val="20"/>
              </w:rPr>
            </w:pPr>
          </w:p>
        </w:tc>
        <w:tc>
          <w:tcPr>
            <w:tcW w:w="1133" w:type="dxa"/>
            <w:vMerge/>
            <w:tcBorders>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left="56" w:right="56"/>
              <w:jc w:val="center"/>
              <w:rPr>
                <w:sz w:val="20"/>
                <w:szCs w:val="20"/>
              </w:rPr>
            </w:pPr>
          </w:p>
        </w:tc>
        <w:tc>
          <w:tcPr>
            <w:tcW w:w="1138" w:type="dxa"/>
            <w:vMerge/>
            <w:tcBorders>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left="56" w:right="56"/>
              <w:jc w:val="center"/>
              <w:rPr>
                <w:sz w:val="20"/>
                <w:szCs w:val="20"/>
              </w:rPr>
            </w:pPr>
          </w:p>
        </w:tc>
      </w:tr>
      <w:tr w:rsidR="00E651AC" w:rsidRPr="00D50E91" w:rsidTr="00BA45D4">
        <w:trPr>
          <w:trHeight w:val="518"/>
        </w:trPr>
        <w:tc>
          <w:tcPr>
            <w:tcW w:w="562" w:type="dxa"/>
            <w:tcBorders>
              <w:top w:val="single" w:sz="4" w:space="0" w:color="auto"/>
              <w:left w:val="single" w:sz="4" w:space="0" w:color="auto"/>
              <w:bottom w:val="single" w:sz="4" w:space="0" w:color="auto"/>
              <w:right w:val="single" w:sz="4" w:space="0" w:color="auto"/>
            </w:tcBorders>
          </w:tcPr>
          <w:p w:rsidR="00E651AC" w:rsidRPr="00D50E91" w:rsidRDefault="00886738" w:rsidP="00BA45D4">
            <w:pPr>
              <w:autoSpaceDE w:val="0"/>
              <w:autoSpaceDN w:val="0"/>
              <w:adjustRightInd w:val="0"/>
              <w:ind w:left="56" w:right="56"/>
              <w:jc w:val="center"/>
              <w:rPr>
                <w:sz w:val="20"/>
                <w:szCs w:val="20"/>
              </w:rPr>
            </w:pPr>
            <w:r w:rsidRPr="00D50E91">
              <w:rPr>
                <w:sz w:val="20"/>
                <w:szCs w:val="20"/>
              </w:rPr>
              <w:t xml:space="preserve"> </w:t>
            </w:r>
            <w:r w:rsidR="00E651AC" w:rsidRPr="00D50E91">
              <w:rPr>
                <w:sz w:val="20"/>
                <w:szCs w:val="20"/>
              </w:rPr>
              <w:t>11</w:t>
            </w:r>
          </w:p>
        </w:tc>
        <w:tc>
          <w:tcPr>
            <w:tcW w:w="1243" w:type="dxa"/>
            <w:vMerge/>
            <w:tcBorders>
              <w:left w:val="single" w:sz="4" w:space="0" w:color="auto"/>
              <w:right w:val="single" w:sz="4" w:space="0" w:color="auto"/>
            </w:tcBorders>
          </w:tcPr>
          <w:p w:rsidR="00E651AC" w:rsidRPr="00D50E91" w:rsidRDefault="00E651AC" w:rsidP="00BA45D4">
            <w:pPr>
              <w:autoSpaceDE w:val="0"/>
              <w:autoSpaceDN w:val="0"/>
              <w:adjustRightInd w:val="0"/>
              <w:ind w:left="56" w:right="56"/>
              <w:rPr>
                <w:sz w:val="20"/>
                <w:szCs w:val="20"/>
              </w:rPr>
            </w:pPr>
          </w:p>
        </w:tc>
        <w:tc>
          <w:tcPr>
            <w:tcW w:w="3955" w:type="dxa"/>
            <w:vMerge/>
            <w:tcBorders>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left="56" w:right="56"/>
              <w:rPr>
                <w:sz w:val="20"/>
              </w:rPr>
            </w:pPr>
          </w:p>
        </w:tc>
        <w:tc>
          <w:tcPr>
            <w:tcW w:w="1260"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right="56"/>
              <w:jc w:val="center"/>
              <w:rPr>
                <w:sz w:val="20"/>
                <w:szCs w:val="20"/>
              </w:rPr>
            </w:pPr>
            <w:r w:rsidRPr="00D50E91">
              <w:rPr>
                <w:sz w:val="20"/>
                <w:szCs w:val="20"/>
              </w:rPr>
              <w:t>&gt;10 m</w:t>
            </w:r>
          </w:p>
        </w:tc>
        <w:tc>
          <w:tcPr>
            <w:tcW w:w="1133"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left="56" w:right="56"/>
              <w:jc w:val="center"/>
              <w:rPr>
                <w:sz w:val="20"/>
                <w:szCs w:val="20"/>
              </w:rPr>
            </w:pPr>
            <w:r w:rsidRPr="00D50E91">
              <w:rPr>
                <w:sz w:val="20"/>
                <w:szCs w:val="20"/>
              </w:rPr>
              <w:t>+1,3</w:t>
            </w:r>
          </w:p>
        </w:tc>
        <w:tc>
          <w:tcPr>
            <w:tcW w:w="1275"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left="56" w:right="56"/>
              <w:jc w:val="center"/>
              <w:rPr>
                <w:sz w:val="20"/>
                <w:szCs w:val="20"/>
              </w:rPr>
            </w:pPr>
            <w:r w:rsidRPr="00D50E91">
              <w:rPr>
                <w:sz w:val="20"/>
                <w:szCs w:val="20"/>
              </w:rPr>
              <w:t>+1,5</w:t>
            </w:r>
          </w:p>
        </w:tc>
        <w:tc>
          <w:tcPr>
            <w:tcW w:w="1133"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left="56" w:right="56"/>
              <w:jc w:val="center"/>
              <w:rPr>
                <w:sz w:val="20"/>
                <w:szCs w:val="20"/>
              </w:rPr>
            </w:pPr>
            <w:r w:rsidRPr="00D50E91">
              <w:rPr>
                <w:sz w:val="20"/>
                <w:szCs w:val="20"/>
              </w:rPr>
              <w:t>+1,5</w:t>
            </w:r>
          </w:p>
        </w:tc>
        <w:tc>
          <w:tcPr>
            <w:tcW w:w="1138"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left="56" w:right="56"/>
              <w:jc w:val="center"/>
              <w:rPr>
                <w:sz w:val="20"/>
                <w:szCs w:val="20"/>
              </w:rPr>
            </w:pPr>
            <w:r w:rsidRPr="00D50E91">
              <w:rPr>
                <w:sz w:val="20"/>
                <w:szCs w:val="20"/>
              </w:rPr>
              <w:t>+1,5</w:t>
            </w:r>
          </w:p>
        </w:tc>
      </w:tr>
      <w:tr w:rsidR="00E651AC" w:rsidRPr="00D50E91" w:rsidTr="00BA45D4">
        <w:trPr>
          <w:trHeight w:val="541"/>
        </w:trPr>
        <w:tc>
          <w:tcPr>
            <w:tcW w:w="562" w:type="dxa"/>
            <w:tcBorders>
              <w:top w:val="single" w:sz="4" w:space="0" w:color="auto"/>
              <w:left w:val="single" w:sz="4" w:space="0" w:color="auto"/>
              <w:bottom w:val="single" w:sz="4" w:space="0" w:color="auto"/>
              <w:right w:val="single" w:sz="4" w:space="0" w:color="auto"/>
            </w:tcBorders>
          </w:tcPr>
          <w:p w:rsidR="00E651AC" w:rsidRPr="00D50E91" w:rsidRDefault="00886738" w:rsidP="00BA45D4">
            <w:pPr>
              <w:autoSpaceDE w:val="0"/>
              <w:autoSpaceDN w:val="0"/>
              <w:adjustRightInd w:val="0"/>
              <w:ind w:left="56" w:right="56"/>
              <w:jc w:val="center"/>
              <w:rPr>
                <w:sz w:val="20"/>
                <w:szCs w:val="20"/>
              </w:rPr>
            </w:pPr>
            <w:r w:rsidRPr="00D50E91">
              <w:rPr>
                <w:sz w:val="20"/>
                <w:szCs w:val="20"/>
              </w:rPr>
              <w:t xml:space="preserve"> </w:t>
            </w:r>
            <w:r w:rsidR="00E651AC" w:rsidRPr="00D50E91">
              <w:rPr>
                <w:sz w:val="20"/>
                <w:szCs w:val="20"/>
              </w:rPr>
              <w:t>12</w:t>
            </w:r>
          </w:p>
        </w:tc>
        <w:tc>
          <w:tcPr>
            <w:tcW w:w="1243" w:type="dxa"/>
            <w:vMerge/>
            <w:tcBorders>
              <w:left w:val="single" w:sz="4" w:space="0" w:color="auto"/>
              <w:right w:val="single" w:sz="4" w:space="0" w:color="auto"/>
            </w:tcBorders>
          </w:tcPr>
          <w:p w:rsidR="00E651AC" w:rsidRPr="00D50E91" w:rsidRDefault="00E651AC" w:rsidP="00BA45D4">
            <w:pPr>
              <w:autoSpaceDE w:val="0"/>
              <w:autoSpaceDN w:val="0"/>
              <w:adjustRightInd w:val="0"/>
              <w:ind w:left="56" w:right="56"/>
              <w:rPr>
                <w:sz w:val="20"/>
                <w:szCs w:val="20"/>
              </w:rPr>
            </w:pPr>
          </w:p>
        </w:tc>
        <w:tc>
          <w:tcPr>
            <w:tcW w:w="3955" w:type="dxa"/>
            <w:vMerge w:val="restart"/>
            <w:tcBorders>
              <w:top w:val="single" w:sz="4" w:space="0" w:color="auto"/>
              <w:left w:val="single" w:sz="4" w:space="0" w:color="auto"/>
              <w:right w:val="single" w:sz="4" w:space="0" w:color="auto"/>
            </w:tcBorders>
          </w:tcPr>
          <w:p w:rsidR="00E651AC" w:rsidRPr="00D50E91" w:rsidRDefault="00E651AC" w:rsidP="00BA45D4">
            <w:pPr>
              <w:autoSpaceDE w:val="0"/>
              <w:autoSpaceDN w:val="0"/>
              <w:adjustRightInd w:val="0"/>
              <w:ind w:left="56" w:right="56"/>
              <w:rPr>
                <w:sz w:val="20"/>
                <w:szCs w:val="20"/>
              </w:rPr>
            </w:pPr>
            <w:r w:rsidRPr="00D50E91">
              <w:rPr>
                <w:sz w:val="20"/>
              </w:rPr>
              <w:t>ha kétirányú kiürítés biztosított és azon belül a közös útvonal hosszúsága nem haladja meg a teljes hosszúság 15 %</w:t>
            </w:r>
            <w:r w:rsidR="003528A8">
              <w:rPr>
                <w:sz w:val="20"/>
              </w:rPr>
              <w:t>-</w:t>
            </w:r>
            <w:r w:rsidRPr="00D50E91">
              <w:rPr>
                <w:sz w:val="20"/>
              </w:rPr>
              <w:t>át, és a kiürítési útvonalon biztonsági világítás és menekülési jelek létesülnek</w:t>
            </w:r>
          </w:p>
        </w:tc>
        <w:tc>
          <w:tcPr>
            <w:tcW w:w="1260"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right="56"/>
              <w:jc w:val="center"/>
              <w:rPr>
                <w:sz w:val="20"/>
                <w:szCs w:val="20"/>
              </w:rPr>
            </w:pPr>
            <w:r w:rsidRPr="00D50E91">
              <w:rPr>
                <w:sz w:val="20"/>
                <w:szCs w:val="20"/>
              </w:rPr>
              <w:t>4</w:t>
            </w:r>
            <w:r w:rsidR="003528A8">
              <w:rPr>
                <w:sz w:val="20"/>
                <w:szCs w:val="20"/>
              </w:rPr>
              <w:t>-</w:t>
            </w:r>
            <w:r w:rsidRPr="00D50E91">
              <w:rPr>
                <w:sz w:val="20"/>
                <w:szCs w:val="20"/>
              </w:rPr>
              <w:t>10 m</w:t>
            </w:r>
          </w:p>
        </w:tc>
        <w:tc>
          <w:tcPr>
            <w:tcW w:w="1133"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left="56" w:right="56"/>
              <w:jc w:val="center"/>
              <w:rPr>
                <w:sz w:val="20"/>
                <w:szCs w:val="20"/>
              </w:rPr>
            </w:pPr>
            <w:r w:rsidRPr="00D50E91">
              <w:rPr>
                <w:sz w:val="20"/>
                <w:szCs w:val="20"/>
              </w:rPr>
              <w:t>+0,5</w:t>
            </w:r>
          </w:p>
        </w:tc>
        <w:tc>
          <w:tcPr>
            <w:tcW w:w="1275"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left="56" w:right="56"/>
              <w:jc w:val="center"/>
              <w:rPr>
                <w:sz w:val="20"/>
                <w:szCs w:val="20"/>
              </w:rPr>
            </w:pPr>
            <w:r w:rsidRPr="00D50E91">
              <w:rPr>
                <w:sz w:val="20"/>
                <w:szCs w:val="20"/>
              </w:rPr>
              <w:t>+1,0</w:t>
            </w:r>
          </w:p>
        </w:tc>
        <w:tc>
          <w:tcPr>
            <w:tcW w:w="1133"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left="56" w:right="56"/>
              <w:jc w:val="center"/>
              <w:rPr>
                <w:sz w:val="20"/>
                <w:szCs w:val="20"/>
              </w:rPr>
            </w:pPr>
            <w:r w:rsidRPr="00D50E91">
              <w:rPr>
                <w:sz w:val="20"/>
                <w:szCs w:val="20"/>
              </w:rPr>
              <w:t>+1,0</w:t>
            </w:r>
          </w:p>
        </w:tc>
        <w:tc>
          <w:tcPr>
            <w:tcW w:w="1138"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left="56" w:right="56"/>
              <w:jc w:val="center"/>
              <w:rPr>
                <w:sz w:val="20"/>
                <w:szCs w:val="20"/>
              </w:rPr>
            </w:pPr>
            <w:r w:rsidRPr="00D50E91">
              <w:rPr>
                <w:sz w:val="20"/>
                <w:szCs w:val="20"/>
              </w:rPr>
              <w:t>+1,0</w:t>
            </w:r>
          </w:p>
        </w:tc>
      </w:tr>
      <w:tr w:rsidR="00E651AC" w:rsidRPr="00D50E91" w:rsidTr="00BA45D4">
        <w:trPr>
          <w:trHeight w:val="599"/>
        </w:trPr>
        <w:tc>
          <w:tcPr>
            <w:tcW w:w="562" w:type="dxa"/>
            <w:tcBorders>
              <w:top w:val="single" w:sz="4" w:space="0" w:color="auto"/>
              <w:left w:val="single" w:sz="4" w:space="0" w:color="auto"/>
              <w:bottom w:val="single" w:sz="4" w:space="0" w:color="auto"/>
              <w:right w:val="single" w:sz="4" w:space="0" w:color="auto"/>
            </w:tcBorders>
          </w:tcPr>
          <w:p w:rsidR="00E651AC" w:rsidRPr="00D50E91" w:rsidRDefault="00886738" w:rsidP="00BA45D4">
            <w:pPr>
              <w:autoSpaceDE w:val="0"/>
              <w:autoSpaceDN w:val="0"/>
              <w:adjustRightInd w:val="0"/>
              <w:ind w:left="56" w:right="56"/>
              <w:jc w:val="center"/>
              <w:rPr>
                <w:sz w:val="20"/>
                <w:szCs w:val="20"/>
              </w:rPr>
            </w:pPr>
            <w:r w:rsidRPr="00D50E91">
              <w:rPr>
                <w:sz w:val="20"/>
                <w:szCs w:val="20"/>
              </w:rPr>
              <w:t xml:space="preserve"> </w:t>
            </w:r>
            <w:r w:rsidR="00E651AC" w:rsidRPr="00D50E91">
              <w:rPr>
                <w:sz w:val="20"/>
                <w:szCs w:val="20"/>
              </w:rPr>
              <w:t>13</w:t>
            </w:r>
          </w:p>
        </w:tc>
        <w:tc>
          <w:tcPr>
            <w:tcW w:w="1243" w:type="dxa"/>
            <w:vMerge/>
            <w:tcBorders>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left="56" w:right="56"/>
              <w:rPr>
                <w:sz w:val="20"/>
                <w:szCs w:val="20"/>
              </w:rPr>
            </w:pPr>
          </w:p>
        </w:tc>
        <w:tc>
          <w:tcPr>
            <w:tcW w:w="3955" w:type="dxa"/>
            <w:vMerge/>
            <w:tcBorders>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left="56" w:right="56"/>
              <w:rPr>
                <w:sz w:val="20"/>
              </w:rPr>
            </w:pPr>
          </w:p>
        </w:tc>
        <w:tc>
          <w:tcPr>
            <w:tcW w:w="1260"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right="56"/>
              <w:jc w:val="center"/>
              <w:rPr>
                <w:sz w:val="20"/>
                <w:szCs w:val="20"/>
              </w:rPr>
            </w:pPr>
            <w:r w:rsidRPr="00D50E91">
              <w:rPr>
                <w:sz w:val="20"/>
                <w:szCs w:val="20"/>
              </w:rPr>
              <w:t>&gt;10 m</w:t>
            </w:r>
          </w:p>
        </w:tc>
        <w:tc>
          <w:tcPr>
            <w:tcW w:w="1133"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left="56" w:right="56"/>
              <w:jc w:val="center"/>
              <w:rPr>
                <w:sz w:val="20"/>
                <w:szCs w:val="20"/>
              </w:rPr>
            </w:pPr>
            <w:r w:rsidRPr="00D50E91">
              <w:rPr>
                <w:sz w:val="20"/>
                <w:szCs w:val="20"/>
              </w:rPr>
              <w:t>+1,3</w:t>
            </w:r>
          </w:p>
        </w:tc>
        <w:tc>
          <w:tcPr>
            <w:tcW w:w="1275"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left="56" w:right="56"/>
              <w:jc w:val="center"/>
              <w:rPr>
                <w:sz w:val="20"/>
                <w:szCs w:val="20"/>
              </w:rPr>
            </w:pPr>
            <w:r w:rsidRPr="00D50E91">
              <w:rPr>
                <w:sz w:val="20"/>
                <w:szCs w:val="20"/>
              </w:rPr>
              <w:t>+1,5</w:t>
            </w:r>
          </w:p>
        </w:tc>
        <w:tc>
          <w:tcPr>
            <w:tcW w:w="1133"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left="56" w:right="56"/>
              <w:jc w:val="center"/>
              <w:rPr>
                <w:sz w:val="20"/>
                <w:szCs w:val="20"/>
              </w:rPr>
            </w:pPr>
            <w:r w:rsidRPr="00D50E91">
              <w:rPr>
                <w:sz w:val="20"/>
                <w:szCs w:val="20"/>
              </w:rPr>
              <w:t>+1,5</w:t>
            </w:r>
          </w:p>
        </w:tc>
        <w:tc>
          <w:tcPr>
            <w:tcW w:w="1138"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left="56" w:right="56"/>
              <w:jc w:val="center"/>
              <w:rPr>
                <w:sz w:val="20"/>
                <w:szCs w:val="20"/>
              </w:rPr>
            </w:pPr>
            <w:r w:rsidRPr="00D50E91">
              <w:rPr>
                <w:sz w:val="20"/>
                <w:szCs w:val="20"/>
              </w:rPr>
              <w:t>+1,5</w:t>
            </w:r>
          </w:p>
        </w:tc>
      </w:tr>
      <w:tr w:rsidR="00E651AC" w:rsidRPr="00D50E91" w:rsidTr="00BA45D4">
        <w:tc>
          <w:tcPr>
            <w:tcW w:w="562"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left="56" w:right="56"/>
              <w:jc w:val="center"/>
              <w:rPr>
                <w:sz w:val="20"/>
                <w:szCs w:val="20"/>
              </w:rPr>
            </w:pPr>
            <w:r w:rsidRPr="00D50E91">
              <w:rPr>
                <w:sz w:val="20"/>
                <w:szCs w:val="20"/>
              </w:rPr>
              <w:t xml:space="preserve"> 14</w:t>
            </w:r>
          </w:p>
        </w:tc>
        <w:tc>
          <w:tcPr>
            <w:tcW w:w="5198" w:type="dxa"/>
            <w:gridSpan w:val="2"/>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left="56" w:right="56"/>
              <w:rPr>
                <w:sz w:val="20"/>
                <w:szCs w:val="20"/>
              </w:rPr>
            </w:pPr>
            <w:r w:rsidRPr="00D50E91">
              <w:rPr>
                <w:sz w:val="20"/>
                <w:szCs w:val="20"/>
              </w:rPr>
              <w:t xml:space="preserve"> Második szakasz</w:t>
            </w:r>
          </w:p>
        </w:tc>
        <w:tc>
          <w:tcPr>
            <w:tcW w:w="1260"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right="56"/>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left="56" w:right="56"/>
              <w:jc w:val="center"/>
              <w:rPr>
                <w:sz w:val="20"/>
                <w:szCs w:val="20"/>
              </w:rPr>
            </w:pPr>
            <w:r w:rsidRPr="00D50E91">
              <w:rPr>
                <w:sz w:val="20"/>
                <w:szCs w:val="20"/>
              </w:rPr>
              <w:t xml:space="preserve"> 6,0</w:t>
            </w:r>
          </w:p>
        </w:tc>
        <w:tc>
          <w:tcPr>
            <w:tcW w:w="1275"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left="56" w:right="56"/>
              <w:jc w:val="center"/>
              <w:rPr>
                <w:sz w:val="20"/>
                <w:szCs w:val="20"/>
              </w:rPr>
            </w:pPr>
            <w:r w:rsidRPr="00D50E91">
              <w:rPr>
                <w:sz w:val="20"/>
                <w:szCs w:val="20"/>
              </w:rPr>
              <w:t xml:space="preserve"> 8,0</w:t>
            </w:r>
          </w:p>
        </w:tc>
        <w:tc>
          <w:tcPr>
            <w:tcW w:w="1133"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left="56" w:right="56"/>
              <w:jc w:val="center"/>
              <w:rPr>
                <w:sz w:val="20"/>
              </w:rPr>
            </w:pPr>
            <w:r w:rsidRPr="00D50E91">
              <w:rPr>
                <w:sz w:val="20"/>
              </w:rPr>
              <w:t>8,0</w:t>
            </w:r>
          </w:p>
        </w:tc>
        <w:tc>
          <w:tcPr>
            <w:tcW w:w="1138" w:type="dxa"/>
            <w:tcBorders>
              <w:top w:val="single" w:sz="4" w:space="0" w:color="auto"/>
              <w:left w:val="single" w:sz="4" w:space="0" w:color="auto"/>
              <w:bottom w:val="single" w:sz="4" w:space="0" w:color="auto"/>
              <w:right w:val="single" w:sz="4" w:space="0" w:color="auto"/>
            </w:tcBorders>
          </w:tcPr>
          <w:p w:rsidR="00E651AC" w:rsidRPr="00D50E91" w:rsidRDefault="00E651AC" w:rsidP="00BA45D4">
            <w:pPr>
              <w:autoSpaceDE w:val="0"/>
              <w:autoSpaceDN w:val="0"/>
              <w:adjustRightInd w:val="0"/>
              <w:ind w:left="56" w:right="56"/>
              <w:jc w:val="center"/>
              <w:rPr>
                <w:strike/>
                <w:sz w:val="20"/>
              </w:rPr>
            </w:pPr>
            <w:r w:rsidRPr="00D50E91">
              <w:rPr>
                <w:sz w:val="20"/>
              </w:rPr>
              <w:t>8,0</w:t>
            </w:r>
          </w:p>
        </w:tc>
      </w:tr>
    </w:tbl>
    <w:p w:rsidR="00E651AC" w:rsidRPr="00D50E91" w:rsidRDefault="00E651AC" w:rsidP="00595B18">
      <w:pPr>
        <w:jc w:val="both"/>
      </w:pPr>
    </w:p>
    <w:p w:rsidR="005B415B" w:rsidRPr="00D50E91" w:rsidRDefault="005B415B">
      <w:pPr>
        <w:spacing w:after="200" w:line="276" w:lineRule="auto"/>
      </w:pPr>
      <w:r w:rsidRPr="00D50E91">
        <w:br w:type="page"/>
      </w:r>
    </w:p>
    <w:p w:rsidR="005B415B" w:rsidRPr="00D50E91" w:rsidRDefault="005B415B" w:rsidP="00443660">
      <w:pPr>
        <w:autoSpaceDE w:val="0"/>
        <w:autoSpaceDN w:val="0"/>
        <w:adjustRightInd w:val="0"/>
        <w:jc w:val="right"/>
        <w:rPr>
          <w:i/>
        </w:rPr>
      </w:pPr>
      <w:r w:rsidRPr="00D50E91">
        <w:rPr>
          <w:i/>
        </w:rPr>
        <w:lastRenderedPageBreak/>
        <w:t>6. melléklet a …./2018. (……) BM rendelethez</w:t>
      </w:r>
    </w:p>
    <w:p w:rsidR="005B415B" w:rsidRPr="00D50E91" w:rsidRDefault="005B415B" w:rsidP="00443660">
      <w:pPr>
        <w:jc w:val="both"/>
      </w:pPr>
    </w:p>
    <w:p w:rsidR="005B415B" w:rsidRPr="00D50E91" w:rsidRDefault="005B415B" w:rsidP="00B771B5">
      <w:pPr>
        <w:pStyle w:val="Szvegtrzs"/>
        <w:spacing w:after="0"/>
        <w:rPr>
          <w:i/>
        </w:rPr>
      </w:pPr>
      <w:r w:rsidRPr="00D50E91">
        <w:rPr>
          <w:i/>
        </w:rPr>
        <w:t>8. melléklet az 54/2014. (XII. 5.) BM rendelethez</w:t>
      </w:r>
    </w:p>
    <w:p w:rsidR="005B415B" w:rsidRPr="00D50E91" w:rsidRDefault="005B415B" w:rsidP="00443660">
      <w:pPr>
        <w:jc w:val="both"/>
      </w:pPr>
    </w:p>
    <w:p w:rsidR="005B415B" w:rsidRPr="00D50E91" w:rsidRDefault="005B415B" w:rsidP="00443660">
      <w:pPr>
        <w:jc w:val="both"/>
        <w:rPr>
          <w:b/>
          <w:sz w:val="20"/>
          <w:szCs w:val="20"/>
        </w:rPr>
      </w:pPr>
      <w:r w:rsidRPr="00D50E91">
        <w:rPr>
          <w:b/>
          <w:sz w:val="20"/>
          <w:szCs w:val="20"/>
        </w:rPr>
        <w:t>1. táblázat, A tűzoltáshoz szükséges oltóanyag biztosítása alcímhez</w:t>
      </w:r>
    </w:p>
    <w:p w:rsidR="005B415B" w:rsidRPr="00D50E91" w:rsidRDefault="005B415B" w:rsidP="00595B18">
      <w:pPr>
        <w:jc w:val="both"/>
      </w:pPr>
    </w:p>
    <w:tbl>
      <w:tblPr>
        <w:tblW w:w="0" w:type="auto"/>
        <w:tblInd w:w="5" w:type="dxa"/>
        <w:tblLayout w:type="fixed"/>
        <w:tblCellMar>
          <w:left w:w="0" w:type="dxa"/>
          <w:right w:w="0" w:type="dxa"/>
        </w:tblCellMar>
        <w:tblLook w:val="0000" w:firstRow="0" w:lastRow="0" w:firstColumn="0" w:lastColumn="0" w:noHBand="0" w:noVBand="0"/>
      </w:tblPr>
      <w:tblGrid>
        <w:gridCol w:w="562"/>
        <w:gridCol w:w="3400"/>
        <w:gridCol w:w="2266"/>
        <w:gridCol w:w="3400"/>
      </w:tblGrid>
      <w:tr w:rsidR="005B415B" w:rsidRPr="00D50E91" w:rsidTr="00C65880">
        <w:tc>
          <w:tcPr>
            <w:tcW w:w="56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rPr>
                <w:sz w:val="20"/>
                <w:szCs w:val="20"/>
              </w:rPr>
            </w:pPr>
          </w:p>
        </w:tc>
        <w:tc>
          <w:tcPr>
            <w:tcW w:w="340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A</w:t>
            </w:r>
          </w:p>
        </w:tc>
        <w:tc>
          <w:tcPr>
            <w:tcW w:w="2266"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B</w:t>
            </w:r>
          </w:p>
        </w:tc>
        <w:tc>
          <w:tcPr>
            <w:tcW w:w="340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C</w:t>
            </w:r>
          </w:p>
        </w:tc>
      </w:tr>
      <w:tr w:rsidR="005B415B" w:rsidRPr="00D50E91" w:rsidTr="00C65880">
        <w:tc>
          <w:tcPr>
            <w:tcW w:w="56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w:t>
            </w:r>
          </w:p>
        </w:tc>
        <w:tc>
          <w:tcPr>
            <w:tcW w:w="340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rPr>
                <w:b/>
                <w:sz w:val="20"/>
                <w:szCs w:val="20"/>
              </w:rPr>
            </w:pPr>
            <w:r w:rsidRPr="00D50E91">
              <w:rPr>
                <w:b/>
                <w:sz w:val="20"/>
                <w:szCs w:val="20"/>
              </w:rPr>
              <w:t xml:space="preserve"> </w:t>
            </w:r>
          </w:p>
        </w:tc>
        <w:tc>
          <w:tcPr>
            <w:tcW w:w="2266"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b/>
                <w:sz w:val="20"/>
                <w:szCs w:val="20"/>
              </w:rPr>
            </w:pPr>
            <w:r w:rsidRPr="00D50E91">
              <w:rPr>
                <w:b/>
                <w:sz w:val="20"/>
                <w:szCs w:val="20"/>
              </w:rPr>
              <w:t xml:space="preserve"> Tűzszakasz terület</w:t>
            </w:r>
            <w:r w:rsidRPr="00D50E91">
              <w:rPr>
                <w:b/>
                <w:sz w:val="20"/>
                <w:szCs w:val="20"/>
              </w:rPr>
              <w:br/>
              <w:t>(m</w:t>
            </w:r>
            <w:r w:rsidRPr="00D50E91">
              <w:rPr>
                <w:b/>
                <w:sz w:val="20"/>
                <w:szCs w:val="20"/>
                <w:vertAlign w:val="superscript"/>
              </w:rPr>
              <w:t>2</w:t>
            </w:r>
            <w:r w:rsidRPr="00D50E91">
              <w:rPr>
                <w:b/>
                <w:sz w:val="20"/>
                <w:szCs w:val="20"/>
              </w:rPr>
              <w:t>)</w:t>
            </w:r>
          </w:p>
        </w:tc>
        <w:tc>
          <w:tcPr>
            <w:tcW w:w="340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b/>
                <w:sz w:val="20"/>
                <w:szCs w:val="20"/>
              </w:rPr>
            </w:pPr>
            <w:r w:rsidRPr="00D50E91">
              <w:rPr>
                <w:b/>
                <w:sz w:val="20"/>
                <w:szCs w:val="20"/>
              </w:rPr>
              <w:t xml:space="preserve"> Szükséges oltóvíz</w:t>
            </w:r>
            <w:r w:rsidR="003528A8">
              <w:rPr>
                <w:b/>
                <w:sz w:val="20"/>
                <w:szCs w:val="20"/>
              </w:rPr>
              <w:t>-</w:t>
            </w:r>
            <w:r w:rsidRPr="00D50E91">
              <w:rPr>
                <w:b/>
                <w:sz w:val="20"/>
                <w:szCs w:val="20"/>
              </w:rPr>
              <w:t>intenzitás</w:t>
            </w:r>
            <w:r w:rsidRPr="00D50E91">
              <w:rPr>
                <w:b/>
                <w:sz w:val="20"/>
                <w:szCs w:val="20"/>
              </w:rPr>
              <w:br/>
              <w:t>(liter/perc)</w:t>
            </w:r>
          </w:p>
        </w:tc>
      </w:tr>
      <w:tr w:rsidR="005B415B" w:rsidRPr="00D50E91" w:rsidTr="00C65880">
        <w:tc>
          <w:tcPr>
            <w:tcW w:w="56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2</w:t>
            </w:r>
          </w:p>
        </w:tc>
        <w:tc>
          <w:tcPr>
            <w:tcW w:w="340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rPr>
                <w:sz w:val="20"/>
                <w:szCs w:val="20"/>
              </w:rPr>
            </w:pPr>
            <w:r w:rsidRPr="00D50E91">
              <w:rPr>
                <w:sz w:val="20"/>
                <w:szCs w:val="20"/>
              </w:rPr>
              <w:t xml:space="preserve"> 0</w:t>
            </w:r>
            <w:r w:rsidR="003528A8">
              <w:rPr>
                <w:sz w:val="20"/>
                <w:szCs w:val="20"/>
              </w:rPr>
              <w:t>-</w:t>
            </w:r>
            <w:r w:rsidRPr="00D50E91">
              <w:rPr>
                <w:sz w:val="20"/>
                <w:szCs w:val="20"/>
              </w:rPr>
              <w:t>tól 50</w:t>
            </w:r>
            <w:r w:rsidR="003528A8">
              <w:rPr>
                <w:sz w:val="20"/>
                <w:szCs w:val="20"/>
              </w:rPr>
              <w:t>-</w:t>
            </w:r>
            <w:r w:rsidRPr="00D50E91">
              <w:rPr>
                <w:sz w:val="20"/>
                <w:szCs w:val="20"/>
              </w:rPr>
              <w:t>ig</w:t>
            </w:r>
          </w:p>
        </w:tc>
        <w:tc>
          <w:tcPr>
            <w:tcW w:w="2266"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w:t>
            </w:r>
            <w:r w:rsidR="003528A8">
              <w:rPr>
                <w:sz w:val="20"/>
                <w:szCs w:val="20"/>
              </w:rPr>
              <w:t>-</w:t>
            </w:r>
          </w:p>
        </w:tc>
        <w:tc>
          <w:tcPr>
            <w:tcW w:w="340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jc w:val="center"/>
              <w:rPr>
                <w:sz w:val="20"/>
                <w:szCs w:val="20"/>
              </w:rPr>
            </w:pPr>
            <w:r w:rsidRPr="00D50E91">
              <w:rPr>
                <w:sz w:val="20"/>
                <w:szCs w:val="20"/>
              </w:rPr>
              <w:t>0</w:t>
            </w:r>
          </w:p>
        </w:tc>
      </w:tr>
      <w:tr w:rsidR="005B415B" w:rsidRPr="00D50E91" w:rsidTr="00C65880">
        <w:tc>
          <w:tcPr>
            <w:tcW w:w="56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3</w:t>
            </w:r>
          </w:p>
        </w:tc>
        <w:tc>
          <w:tcPr>
            <w:tcW w:w="340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rPr>
                <w:sz w:val="20"/>
                <w:szCs w:val="20"/>
              </w:rPr>
            </w:pPr>
            <w:r w:rsidRPr="00D50E91">
              <w:rPr>
                <w:sz w:val="20"/>
                <w:szCs w:val="20"/>
              </w:rPr>
              <w:t xml:space="preserve"> nagyobb, mint de legfeljebb</w:t>
            </w:r>
          </w:p>
        </w:tc>
        <w:tc>
          <w:tcPr>
            <w:tcW w:w="2266"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50,</w:t>
            </w:r>
            <w:r w:rsidRPr="00D50E91">
              <w:rPr>
                <w:sz w:val="20"/>
                <w:szCs w:val="20"/>
              </w:rPr>
              <w:br/>
              <w:t>150</w:t>
            </w:r>
          </w:p>
        </w:tc>
        <w:tc>
          <w:tcPr>
            <w:tcW w:w="340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600</w:t>
            </w:r>
          </w:p>
        </w:tc>
      </w:tr>
      <w:tr w:rsidR="005B415B" w:rsidRPr="00D50E91" w:rsidTr="00C65880">
        <w:tc>
          <w:tcPr>
            <w:tcW w:w="56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4</w:t>
            </w:r>
          </w:p>
        </w:tc>
        <w:tc>
          <w:tcPr>
            <w:tcW w:w="340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rPr>
                <w:sz w:val="20"/>
                <w:szCs w:val="20"/>
              </w:rPr>
            </w:pPr>
            <w:r w:rsidRPr="00D50E91">
              <w:rPr>
                <w:sz w:val="20"/>
                <w:szCs w:val="20"/>
              </w:rPr>
              <w:t xml:space="preserve"> nagyobb, mint de legfeljebb</w:t>
            </w:r>
          </w:p>
        </w:tc>
        <w:tc>
          <w:tcPr>
            <w:tcW w:w="2266"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150,</w:t>
            </w:r>
            <w:r w:rsidRPr="00D50E91">
              <w:rPr>
                <w:sz w:val="20"/>
                <w:szCs w:val="20"/>
              </w:rPr>
              <w:br/>
              <w:t>300</w:t>
            </w:r>
          </w:p>
        </w:tc>
        <w:tc>
          <w:tcPr>
            <w:tcW w:w="340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900</w:t>
            </w:r>
          </w:p>
        </w:tc>
      </w:tr>
      <w:tr w:rsidR="005B415B" w:rsidRPr="00D50E91" w:rsidTr="00C65880">
        <w:tc>
          <w:tcPr>
            <w:tcW w:w="56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5</w:t>
            </w:r>
          </w:p>
        </w:tc>
        <w:tc>
          <w:tcPr>
            <w:tcW w:w="340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rPr>
                <w:sz w:val="20"/>
                <w:szCs w:val="20"/>
              </w:rPr>
            </w:pPr>
            <w:r w:rsidRPr="00D50E91">
              <w:rPr>
                <w:sz w:val="20"/>
                <w:szCs w:val="20"/>
              </w:rPr>
              <w:t xml:space="preserve"> nagyobb, mint de legfeljebb</w:t>
            </w:r>
          </w:p>
        </w:tc>
        <w:tc>
          <w:tcPr>
            <w:tcW w:w="2266"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300,</w:t>
            </w:r>
            <w:r w:rsidRPr="00D50E91">
              <w:rPr>
                <w:sz w:val="20"/>
                <w:szCs w:val="20"/>
              </w:rPr>
              <w:br/>
              <w:t>500</w:t>
            </w:r>
          </w:p>
        </w:tc>
        <w:tc>
          <w:tcPr>
            <w:tcW w:w="340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1 200</w:t>
            </w:r>
          </w:p>
        </w:tc>
      </w:tr>
      <w:tr w:rsidR="005B415B" w:rsidRPr="00D50E91" w:rsidTr="00C65880">
        <w:tc>
          <w:tcPr>
            <w:tcW w:w="56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6</w:t>
            </w:r>
          </w:p>
        </w:tc>
        <w:tc>
          <w:tcPr>
            <w:tcW w:w="340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rPr>
                <w:sz w:val="20"/>
                <w:szCs w:val="20"/>
              </w:rPr>
            </w:pPr>
            <w:r w:rsidRPr="00D50E91">
              <w:rPr>
                <w:sz w:val="20"/>
                <w:szCs w:val="20"/>
              </w:rPr>
              <w:t xml:space="preserve"> nagyobb, mint de legfeljebb</w:t>
            </w:r>
          </w:p>
        </w:tc>
        <w:tc>
          <w:tcPr>
            <w:tcW w:w="2266"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500,</w:t>
            </w:r>
            <w:r w:rsidRPr="00D50E91">
              <w:rPr>
                <w:sz w:val="20"/>
                <w:szCs w:val="20"/>
              </w:rPr>
              <w:br/>
              <w:t>800</w:t>
            </w:r>
          </w:p>
        </w:tc>
        <w:tc>
          <w:tcPr>
            <w:tcW w:w="340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1 500</w:t>
            </w:r>
          </w:p>
        </w:tc>
      </w:tr>
      <w:tr w:rsidR="005B415B" w:rsidRPr="00D50E91" w:rsidTr="00C65880">
        <w:tc>
          <w:tcPr>
            <w:tcW w:w="56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7</w:t>
            </w:r>
          </w:p>
        </w:tc>
        <w:tc>
          <w:tcPr>
            <w:tcW w:w="340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rPr>
                <w:sz w:val="20"/>
                <w:szCs w:val="20"/>
              </w:rPr>
            </w:pPr>
            <w:r w:rsidRPr="00D50E91">
              <w:rPr>
                <w:sz w:val="20"/>
                <w:szCs w:val="20"/>
              </w:rPr>
              <w:t xml:space="preserve"> nagyobb, mint de legfeljebb</w:t>
            </w:r>
          </w:p>
        </w:tc>
        <w:tc>
          <w:tcPr>
            <w:tcW w:w="2266"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800,</w:t>
            </w:r>
            <w:r w:rsidRPr="00D50E91">
              <w:rPr>
                <w:sz w:val="20"/>
                <w:szCs w:val="20"/>
              </w:rPr>
              <w:br/>
              <w:t>1 200</w:t>
            </w:r>
          </w:p>
        </w:tc>
        <w:tc>
          <w:tcPr>
            <w:tcW w:w="340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1 800</w:t>
            </w:r>
          </w:p>
        </w:tc>
      </w:tr>
      <w:tr w:rsidR="005B415B" w:rsidRPr="00D50E91" w:rsidTr="00C65880">
        <w:tc>
          <w:tcPr>
            <w:tcW w:w="56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8</w:t>
            </w:r>
          </w:p>
        </w:tc>
        <w:tc>
          <w:tcPr>
            <w:tcW w:w="340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rPr>
                <w:sz w:val="20"/>
                <w:szCs w:val="20"/>
              </w:rPr>
            </w:pPr>
            <w:r w:rsidRPr="00D50E91">
              <w:rPr>
                <w:sz w:val="20"/>
                <w:szCs w:val="20"/>
              </w:rPr>
              <w:t xml:space="preserve"> nagyobb, mint de legfeljebb</w:t>
            </w:r>
          </w:p>
        </w:tc>
        <w:tc>
          <w:tcPr>
            <w:tcW w:w="2266"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1 200,</w:t>
            </w:r>
            <w:r w:rsidRPr="00D50E91">
              <w:rPr>
                <w:sz w:val="20"/>
                <w:szCs w:val="20"/>
              </w:rPr>
              <w:br/>
              <w:t>1 600</w:t>
            </w:r>
          </w:p>
        </w:tc>
        <w:tc>
          <w:tcPr>
            <w:tcW w:w="340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2 100</w:t>
            </w:r>
          </w:p>
        </w:tc>
      </w:tr>
      <w:tr w:rsidR="005B415B" w:rsidRPr="00D50E91" w:rsidTr="00C65880">
        <w:tc>
          <w:tcPr>
            <w:tcW w:w="56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9</w:t>
            </w:r>
          </w:p>
        </w:tc>
        <w:tc>
          <w:tcPr>
            <w:tcW w:w="340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rPr>
                <w:sz w:val="20"/>
                <w:szCs w:val="20"/>
              </w:rPr>
            </w:pPr>
            <w:r w:rsidRPr="00D50E91">
              <w:rPr>
                <w:sz w:val="20"/>
                <w:szCs w:val="20"/>
              </w:rPr>
              <w:t xml:space="preserve"> nagyobb, mint de legfeljebb</w:t>
            </w:r>
          </w:p>
        </w:tc>
        <w:tc>
          <w:tcPr>
            <w:tcW w:w="2266"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1 600,</w:t>
            </w:r>
            <w:r w:rsidRPr="00D50E91">
              <w:rPr>
                <w:sz w:val="20"/>
                <w:szCs w:val="20"/>
              </w:rPr>
              <w:br/>
              <w:t>2 000</w:t>
            </w:r>
          </w:p>
        </w:tc>
        <w:tc>
          <w:tcPr>
            <w:tcW w:w="340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2 400</w:t>
            </w:r>
          </w:p>
        </w:tc>
      </w:tr>
      <w:tr w:rsidR="005B415B" w:rsidRPr="00D50E91" w:rsidTr="00C65880">
        <w:tc>
          <w:tcPr>
            <w:tcW w:w="56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10</w:t>
            </w:r>
          </w:p>
        </w:tc>
        <w:tc>
          <w:tcPr>
            <w:tcW w:w="340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rPr>
                <w:sz w:val="20"/>
                <w:szCs w:val="20"/>
              </w:rPr>
            </w:pPr>
            <w:r w:rsidRPr="00D50E91">
              <w:rPr>
                <w:sz w:val="20"/>
                <w:szCs w:val="20"/>
              </w:rPr>
              <w:t xml:space="preserve"> nagyobb, mint de legfeljebb</w:t>
            </w:r>
          </w:p>
        </w:tc>
        <w:tc>
          <w:tcPr>
            <w:tcW w:w="2266"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2 000,</w:t>
            </w:r>
            <w:r w:rsidRPr="00D50E91">
              <w:rPr>
                <w:sz w:val="20"/>
                <w:szCs w:val="20"/>
              </w:rPr>
              <w:br/>
              <w:t>2 500</w:t>
            </w:r>
          </w:p>
        </w:tc>
        <w:tc>
          <w:tcPr>
            <w:tcW w:w="340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2 700</w:t>
            </w:r>
          </w:p>
        </w:tc>
      </w:tr>
      <w:tr w:rsidR="005B415B" w:rsidRPr="00D50E91" w:rsidTr="00C65880">
        <w:tc>
          <w:tcPr>
            <w:tcW w:w="56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11</w:t>
            </w:r>
          </w:p>
        </w:tc>
        <w:tc>
          <w:tcPr>
            <w:tcW w:w="340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rPr>
                <w:sz w:val="20"/>
                <w:szCs w:val="20"/>
              </w:rPr>
            </w:pPr>
            <w:r w:rsidRPr="00D50E91">
              <w:rPr>
                <w:sz w:val="20"/>
                <w:szCs w:val="20"/>
              </w:rPr>
              <w:t xml:space="preserve"> nagyobb, mint de legfeljebb</w:t>
            </w:r>
          </w:p>
        </w:tc>
        <w:tc>
          <w:tcPr>
            <w:tcW w:w="2266"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2 500,</w:t>
            </w:r>
            <w:r w:rsidRPr="00D50E91">
              <w:rPr>
                <w:sz w:val="20"/>
                <w:szCs w:val="20"/>
              </w:rPr>
              <w:br/>
              <w:t>3 200</w:t>
            </w:r>
          </w:p>
        </w:tc>
        <w:tc>
          <w:tcPr>
            <w:tcW w:w="340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3 000</w:t>
            </w:r>
          </w:p>
        </w:tc>
      </w:tr>
      <w:tr w:rsidR="005B415B" w:rsidRPr="00D50E91" w:rsidTr="00C65880">
        <w:tc>
          <w:tcPr>
            <w:tcW w:w="56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12</w:t>
            </w:r>
          </w:p>
        </w:tc>
        <w:tc>
          <w:tcPr>
            <w:tcW w:w="340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rPr>
                <w:sz w:val="20"/>
                <w:szCs w:val="20"/>
              </w:rPr>
            </w:pPr>
            <w:r w:rsidRPr="00D50E91">
              <w:rPr>
                <w:sz w:val="20"/>
                <w:szCs w:val="20"/>
              </w:rPr>
              <w:t xml:space="preserve"> nagyobb, mint de legfeljebb</w:t>
            </w:r>
          </w:p>
        </w:tc>
        <w:tc>
          <w:tcPr>
            <w:tcW w:w="2266"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3 200,</w:t>
            </w:r>
            <w:r w:rsidRPr="00D50E91">
              <w:rPr>
                <w:sz w:val="20"/>
                <w:szCs w:val="20"/>
              </w:rPr>
              <w:br/>
              <w:t>3 900</w:t>
            </w:r>
          </w:p>
        </w:tc>
        <w:tc>
          <w:tcPr>
            <w:tcW w:w="340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3 300</w:t>
            </w:r>
          </w:p>
        </w:tc>
      </w:tr>
      <w:tr w:rsidR="005B415B" w:rsidRPr="00D50E91" w:rsidTr="00C65880">
        <w:tc>
          <w:tcPr>
            <w:tcW w:w="56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13</w:t>
            </w:r>
          </w:p>
        </w:tc>
        <w:tc>
          <w:tcPr>
            <w:tcW w:w="340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rPr>
                <w:sz w:val="20"/>
                <w:szCs w:val="20"/>
              </w:rPr>
            </w:pPr>
            <w:r w:rsidRPr="00D50E91">
              <w:rPr>
                <w:sz w:val="20"/>
                <w:szCs w:val="20"/>
              </w:rPr>
              <w:t xml:space="preserve"> nagyobb, mint de legfeljebb</w:t>
            </w:r>
          </w:p>
        </w:tc>
        <w:tc>
          <w:tcPr>
            <w:tcW w:w="2266"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3 900,</w:t>
            </w:r>
            <w:r w:rsidRPr="00D50E91">
              <w:rPr>
                <w:sz w:val="20"/>
                <w:szCs w:val="20"/>
              </w:rPr>
              <w:br/>
              <w:t>4 600</w:t>
            </w:r>
          </w:p>
        </w:tc>
        <w:tc>
          <w:tcPr>
            <w:tcW w:w="340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3 600</w:t>
            </w:r>
          </w:p>
        </w:tc>
      </w:tr>
      <w:tr w:rsidR="005B415B" w:rsidRPr="00D50E91" w:rsidTr="00C65880">
        <w:tc>
          <w:tcPr>
            <w:tcW w:w="56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14</w:t>
            </w:r>
          </w:p>
        </w:tc>
        <w:tc>
          <w:tcPr>
            <w:tcW w:w="340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rPr>
                <w:sz w:val="20"/>
                <w:szCs w:val="20"/>
              </w:rPr>
            </w:pPr>
            <w:r w:rsidRPr="00D50E91">
              <w:rPr>
                <w:sz w:val="20"/>
                <w:szCs w:val="20"/>
              </w:rPr>
              <w:t xml:space="preserve"> nagyobb, mint de legfeljebb</w:t>
            </w:r>
          </w:p>
        </w:tc>
        <w:tc>
          <w:tcPr>
            <w:tcW w:w="2266"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4 600,</w:t>
            </w:r>
            <w:r w:rsidRPr="00D50E91">
              <w:rPr>
                <w:sz w:val="20"/>
                <w:szCs w:val="20"/>
              </w:rPr>
              <w:br/>
              <w:t>5 400</w:t>
            </w:r>
          </w:p>
        </w:tc>
        <w:tc>
          <w:tcPr>
            <w:tcW w:w="340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3 900</w:t>
            </w:r>
          </w:p>
        </w:tc>
      </w:tr>
      <w:tr w:rsidR="005B415B" w:rsidRPr="00D50E91" w:rsidTr="00C65880">
        <w:tc>
          <w:tcPr>
            <w:tcW w:w="56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15</w:t>
            </w:r>
          </w:p>
        </w:tc>
        <w:tc>
          <w:tcPr>
            <w:tcW w:w="340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rPr>
                <w:sz w:val="20"/>
                <w:szCs w:val="20"/>
              </w:rPr>
            </w:pPr>
            <w:r w:rsidRPr="00D50E91">
              <w:rPr>
                <w:sz w:val="20"/>
                <w:szCs w:val="20"/>
              </w:rPr>
              <w:t xml:space="preserve"> nagyobb, mint de legfeljebb</w:t>
            </w:r>
          </w:p>
        </w:tc>
        <w:tc>
          <w:tcPr>
            <w:tcW w:w="2266"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5 400,</w:t>
            </w:r>
            <w:r w:rsidRPr="00D50E91">
              <w:rPr>
                <w:sz w:val="20"/>
                <w:szCs w:val="20"/>
              </w:rPr>
              <w:br/>
              <w:t>6 200</w:t>
            </w:r>
          </w:p>
        </w:tc>
        <w:tc>
          <w:tcPr>
            <w:tcW w:w="340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4 200</w:t>
            </w:r>
          </w:p>
        </w:tc>
      </w:tr>
      <w:tr w:rsidR="005B415B" w:rsidRPr="00D50E91" w:rsidTr="00C65880">
        <w:tc>
          <w:tcPr>
            <w:tcW w:w="56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16</w:t>
            </w:r>
          </w:p>
        </w:tc>
        <w:tc>
          <w:tcPr>
            <w:tcW w:w="340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rPr>
                <w:sz w:val="20"/>
                <w:szCs w:val="20"/>
              </w:rPr>
            </w:pPr>
            <w:r w:rsidRPr="00D50E91">
              <w:rPr>
                <w:sz w:val="20"/>
                <w:szCs w:val="20"/>
              </w:rPr>
              <w:t xml:space="preserve"> nagyobb, mint de legfeljebb</w:t>
            </w:r>
          </w:p>
        </w:tc>
        <w:tc>
          <w:tcPr>
            <w:tcW w:w="2266"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6 200,</w:t>
            </w:r>
            <w:r w:rsidRPr="00D50E91">
              <w:rPr>
                <w:sz w:val="20"/>
                <w:szCs w:val="20"/>
              </w:rPr>
              <w:br/>
              <w:t>7 200</w:t>
            </w:r>
          </w:p>
        </w:tc>
        <w:tc>
          <w:tcPr>
            <w:tcW w:w="340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4 500</w:t>
            </w:r>
          </w:p>
        </w:tc>
      </w:tr>
      <w:tr w:rsidR="005B415B" w:rsidRPr="00D50E91" w:rsidTr="00C65880">
        <w:tc>
          <w:tcPr>
            <w:tcW w:w="56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17</w:t>
            </w:r>
          </w:p>
        </w:tc>
        <w:tc>
          <w:tcPr>
            <w:tcW w:w="340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rPr>
                <w:sz w:val="20"/>
                <w:szCs w:val="20"/>
              </w:rPr>
            </w:pPr>
            <w:r w:rsidRPr="00D50E91">
              <w:rPr>
                <w:sz w:val="20"/>
                <w:szCs w:val="20"/>
              </w:rPr>
              <w:t xml:space="preserve"> nagyobb, mint de legfeljebb</w:t>
            </w:r>
          </w:p>
        </w:tc>
        <w:tc>
          <w:tcPr>
            <w:tcW w:w="2266"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7 200,</w:t>
            </w:r>
            <w:r w:rsidRPr="00D50E91">
              <w:rPr>
                <w:sz w:val="20"/>
                <w:szCs w:val="20"/>
              </w:rPr>
              <w:br/>
            </w:r>
            <w:r w:rsidRPr="00D50E91">
              <w:rPr>
                <w:sz w:val="20"/>
                <w:szCs w:val="20"/>
              </w:rPr>
              <w:lastRenderedPageBreak/>
              <w:t>8 200</w:t>
            </w:r>
          </w:p>
        </w:tc>
        <w:tc>
          <w:tcPr>
            <w:tcW w:w="340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lastRenderedPageBreak/>
              <w:t xml:space="preserve"> 4 800</w:t>
            </w:r>
          </w:p>
        </w:tc>
      </w:tr>
      <w:tr w:rsidR="005B415B" w:rsidRPr="00D50E91" w:rsidTr="00C65880">
        <w:tc>
          <w:tcPr>
            <w:tcW w:w="56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lastRenderedPageBreak/>
              <w:t xml:space="preserve"> 18</w:t>
            </w:r>
          </w:p>
        </w:tc>
        <w:tc>
          <w:tcPr>
            <w:tcW w:w="340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rPr>
                <w:sz w:val="20"/>
                <w:szCs w:val="20"/>
              </w:rPr>
            </w:pPr>
            <w:r w:rsidRPr="00D50E91">
              <w:rPr>
                <w:sz w:val="20"/>
                <w:szCs w:val="20"/>
              </w:rPr>
              <w:t xml:space="preserve"> nagyobb, mint de legfeljebb</w:t>
            </w:r>
          </w:p>
        </w:tc>
        <w:tc>
          <w:tcPr>
            <w:tcW w:w="2266"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8 200,</w:t>
            </w:r>
            <w:r w:rsidRPr="00D50E91">
              <w:rPr>
                <w:sz w:val="20"/>
                <w:szCs w:val="20"/>
              </w:rPr>
              <w:br/>
              <w:t>9 200</w:t>
            </w:r>
          </w:p>
        </w:tc>
        <w:tc>
          <w:tcPr>
            <w:tcW w:w="340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5 100</w:t>
            </w:r>
          </w:p>
        </w:tc>
      </w:tr>
      <w:tr w:rsidR="005B415B" w:rsidRPr="00D50E91" w:rsidTr="00C65880">
        <w:tc>
          <w:tcPr>
            <w:tcW w:w="56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19</w:t>
            </w:r>
          </w:p>
        </w:tc>
        <w:tc>
          <w:tcPr>
            <w:tcW w:w="340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rPr>
                <w:sz w:val="20"/>
                <w:szCs w:val="20"/>
              </w:rPr>
            </w:pPr>
            <w:r w:rsidRPr="00D50E91">
              <w:rPr>
                <w:sz w:val="20"/>
                <w:szCs w:val="20"/>
              </w:rPr>
              <w:t xml:space="preserve"> nagyobb, mint de legfeljebb</w:t>
            </w:r>
          </w:p>
        </w:tc>
        <w:tc>
          <w:tcPr>
            <w:tcW w:w="2266"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9 200,</w:t>
            </w:r>
            <w:r w:rsidRPr="00D50E91">
              <w:rPr>
                <w:sz w:val="20"/>
                <w:szCs w:val="20"/>
              </w:rPr>
              <w:br/>
              <w:t>10 400</w:t>
            </w:r>
          </w:p>
        </w:tc>
        <w:tc>
          <w:tcPr>
            <w:tcW w:w="340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5 400</w:t>
            </w:r>
          </w:p>
        </w:tc>
      </w:tr>
      <w:tr w:rsidR="005B415B" w:rsidRPr="00D50E91" w:rsidTr="00C65880">
        <w:tc>
          <w:tcPr>
            <w:tcW w:w="56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20</w:t>
            </w:r>
          </w:p>
        </w:tc>
        <w:tc>
          <w:tcPr>
            <w:tcW w:w="340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rPr>
                <w:sz w:val="20"/>
                <w:szCs w:val="20"/>
              </w:rPr>
            </w:pPr>
            <w:r w:rsidRPr="00D50E91">
              <w:rPr>
                <w:sz w:val="20"/>
                <w:szCs w:val="20"/>
              </w:rPr>
              <w:t xml:space="preserve"> nagyobb, mint de legfeljebb</w:t>
            </w:r>
          </w:p>
        </w:tc>
        <w:tc>
          <w:tcPr>
            <w:tcW w:w="2266"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10 400,</w:t>
            </w:r>
            <w:r w:rsidRPr="00D50E91">
              <w:rPr>
                <w:sz w:val="20"/>
                <w:szCs w:val="20"/>
              </w:rPr>
              <w:br/>
              <w:t>12 000</w:t>
            </w:r>
          </w:p>
        </w:tc>
        <w:tc>
          <w:tcPr>
            <w:tcW w:w="340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5 700</w:t>
            </w:r>
          </w:p>
        </w:tc>
      </w:tr>
      <w:tr w:rsidR="005B415B" w:rsidRPr="00D50E91" w:rsidTr="00C65880">
        <w:tc>
          <w:tcPr>
            <w:tcW w:w="56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21</w:t>
            </w:r>
          </w:p>
        </w:tc>
        <w:tc>
          <w:tcPr>
            <w:tcW w:w="340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rPr>
                <w:sz w:val="20"/>
                <w:szCs w:val="20"/>
              </w:rPr>
            </w:pPr>
            <w:r w:rsidRPr="00D50E91">
              <w:rPr>
                <w:sz w:val="20"/>
                <w:szCs w:val="20"/>
              </w:rPr>
              <w:t xml:space="preserve"> nagyobb, mint</w:t>
            </w:r>
          </w:p>
        </w:tc>
        <w:tc>
          <w:tcPr>
            <w:tcW w:w="2266"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12 000</w:t>
            </w:r>
          </w:p>
        </w:tc>
        <w:tc>
          <w:tcPr>
            <w:tcW w:w="340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6 000</w:t>
            </w:r>
          </w:p>
        </w:tc>
      </w:tr>
    </w:tbl>
    <w:p w:rsidR="005B415B" w:rsidRPr="00D50E91" w:rsidRDefault="005B415B" w:rsidP="00595B18">
      <w:pPr>
        <w:jc w:val="both"/>
      </w:pPr>
    </w:p>
    <w:p w:rsidR="005B415B" w:rsidRPr="00D50E91" w:rsidRDefault="005B415B" w:rsidP="00595B18">
      <w:pPr>
        <w:jc w:val="both"/>
      </w:pPr>
    </w:p>
    <w:p w:rsidR="005B415B" w:rsidRPr="00D50E91" w:rsidRDefault="005B415B" w:rsidP="00443660">
      <w:pPr>
        <w:jc w:val="both"/>
        <w:rPr>
          <w:b/>
          <w:sz w:val="20"/>
          <w:szCs w:val="20"/>
        </w:rPr>
      </w:pPr>
      <w:r w:rsidRPr="00D50E91">
        <w:rPr>
          <w:b/>
          <w:sz w:val="20"/>
          <w:szCs w:val="20"/>
        </w:rPr>
        <w:t>2. táblázat, a Fali tűzcsapok kialakítása alcímhez</w:t>
      </w:r>
    </w:p>
    <w:p w:rsidR="005B415B" w:rsidRPr="00D50E91" w:rsidRDefault="005B415B" w:rsidP="00595B18">
      <w:pPr>
        <w:jc w:val="both"/>
      </w:pPr>
    </w:p>
    <w:tbl>
      <w:tblPr>
        <w:tblW w:w="11897" w:type="dxa"/>
        <w:tblInd w:w="5" w:type="dxa"/>
        <w:tblLayout w:type="fixed"/>
        <w:tblCellMar>
          <w:left w:w="0" w:type="dxa"/>
          <w:right w:w="0" w:type="dxa"/>
        </w:tblCellMar>
        <w:tblLook w:val="0000" w:firstRow="0" w:lastRow="0" w:firstColumn="0" w:lastColumn="0" w:noHBand="0" w:noVBand="0"/>
      </w:tblPr>
      <w:tblGrid>
        <w:gridCol w:w="562"/>
        <w:gridCol w:w="2830"/>
        <w:gridCol w:w="1418"/>
        <w:gridCol w:w="1417"/>
        <w:gridCol w:w="1418"/>
        <w:gridCol w:w="1417"/>
        <w:gridCol w:w="1418"/>
        <w:gridCol w:w="1417"/>
      </w:tblGrid>
      <w:tr w:rsidR="005B415B" w:rsidRPr="00D50E91" w:rsidTr="00B771B5">
        <w:tc>
          <w:tcPr>
            <w:tcW w:w="56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rPr>
                <w:sz w:val="20"/>
                <w:szCs w:val="20"/>
              </w:rPr>
            </w:pPr>
          </w:p>
        </w:tc>
        <w:tc>
          <w:tcPr>
            <w:tcW w:w="283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A</w:t>
            </w:r>
          </w:p>
        </w:tc>
        <w:tc>
          <w:tcPr>
            <w:tcW w:w="1418"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B</w:t>
            </w:r>
          </w:p>
        </w:tc>
        <w:tc>
          <w:tcPr>
            <w:tcW w:w="1417"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C</w:t>
            </w:r>
          </w:p>
        </w:tc>
        <w:tc>
          <w:tcPr>
            <w:tcW w:w="1418"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D</w:t>
            </w:r>
          </w:p>
        </w:tc>
        <w:tc>
          <w:tcPr>
            <w:tcW w:w="1417"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E</w:t>
            </w:r>
          </w:p>
        </w:tc>
        <w:tc>
          <w:tcPr>
            <w:tcW w:w="1418"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F</w:t>
            </w:r>
          </w:p>
        </w:tc>
        <w:tc>
          <w:tcPr>
            <w:tcW w:w="1417"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G</w:t>
            </w:r>
          </w:p>
        </w:tc>
      </w:tr>
      <w:tr w:rsidR="005B415B" w:rsidRPr="00D50E91" w:rsidTr="00B771B5">
        <w:tc>
          <w:tcPr>
            <w:tcW w:w="56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w:t>
            </w:r>
          </w:p>
        </w:tc>
        <w:tc>
          <w:tcPr>
            <w:tcW w:w="283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b/>
                <w:sz w:val="20"/>
                <w:szCs w:val="20"/>
              </w:rPr>
            </w:pPr>
            <w:r w:rsidRPr="00D50E91">
              <w:rPr>
                <w:b/>
                <w:sz w:val="20"/>
                <w:szCs w:val="20"/>
              </w:rPr>
              <w:t xml:space="preserve"> Legfelső padlószint magassága</w:t>
            </w:r>
          </w:p>
        </w:tc>
        <w:tc>
          <w:tcPr>
            <w:tcW w:w="2835" w:type="dxa"/>
            <w:gridSpan w:val="2"/>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b/>
                <w:sz w:val="20"/>
                <w:szCs w:val="20"/>
              </w:rPr>
            </w:pPr>
            <w:r w:rsidRPr="00D50E91">
              <w:rPr>
                <w:b/>
                <w:sz w:val="20"/>
                <w:szCs w:val="20"/>
              </w:rPr>
              <w:t xml:space="preserve"> Legfeljebb 14 m</w:t>
            </w:r>
          </w:p>
        </w:tc>
        <w:tc>
          <w:tcPr>
            <w:tcW w:w="2835" w:type="dxa"/>
            <w:gridSpan w:val="2"/>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b/>
                <w:sz w:val="20"/>
                <w:szCs w:val="20"/>
              </w:rPr>
            </w:pPr>
            <w:r w:rsidRPr="00D50E91">
              <w:rPr>
                <w:b/>
                <w:sz w:val="20"/>
                <w:szCs w:val="20"/>
              </w:rPr>
              <w:t xml:space="preserve"> 14 m</w:t>
            </w:r>
            <w:r w:rsidR="003528A8">
              <w:rPr>
                <w:b/>
                <w:sz w:val="20"/>
                <w:szCs w:val="20"/>
              </w:rPr>
              <w:t>-</w:t>
            </w:r>
            <w:r w:rsidRPr="00D50E91">
              <w:rPr>
                <w:b/>
                <w:sz w:val="20"/>
                <w:szCs w:val="20"/>
              </w:rPr>
              <w:t>nél nagyobb és legfeljebb 30 m</w:t>
            </w:r>
          </w:p>
        </w:tc>
        <w:tc>
          <w:tcPr>
            <w:tcW w:w="2835" w:type="dxa"/>
            <w:gridSpan w:val="2"/>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b/>
                <w:sz w:val="20"/>
                <w:szCs w:val="20"/>
              </w:rPr>
            </w:pPr>
            <w:r w:rsidRPr="00D50E91">
              <w:rPr>
                <w:b/>
                <w:sz w:val="20"/>
                <w:szCs w:val="20"/>
              </w:rPr>
              <w:t xml:space="preserve"> 30 m</w:t>
            </w:r>
            <w:r w:rsidR="003528A8">
              <w:rPr>
                <w:b/>
                <w:sz w:val="20"/>
                <w:szCs w:val="20"/>
              </w:rPr>
              <w:t>-</w:t>
            </w:r>
            <w:r w:rsidRPr="00D50E91">
              <w:rPr>
                <w:b/>
                <w:sz w:val="20"/>
                <w:szCs w:val="20"/>
              </w:rPr>
              <w:t>nél nagyobb</w:t>
            </w:r>
          </w:p>
        </w:tc>
      </w:tr>
      <w:tr w:rsidR="005B415B" w:rsidRPr="00D50E91" w:rsidTr="00B771B5">
        <w:tc>
          <w:tcPr>
            <w:tcW w:w="56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2</w:t>
            </w:r>
          </w:p>
        </w:tc>
        <w:tc>
          <w:tcPr>
            <w:tcW w:w="2830" w:type="dxa"/>
            <w:tcBorders>
              <w:top w:val="single" w:sz="4" w:space="0" w:color="auto"/>
              <w:left w:val="single" w:sz="4" w:space="0" w:color="auto"/>
              <w:bottom w:val="nil"/>
              <w:right w:val="single" w:sz="4" w:space="0" w:color="auto"/>
            </w:tcBorders>
          </w:tcPr>
          <w:p w:rsidR="005B415B" w:rsidRPr="00D50E91" w:rsidRDefault="005B415B" w:rsidP="00C65880">
            <w:pPr>
              <w:autoSpaceDE w:val="0"/>
              <w:autoSpaceDN w:val="0"/>
              <w:adjustRightInd w:val="0"/>
              <w:ind w:left="56" w:right="56"/>
              <w:rPr>
                <w:b/>
                <w:sz w:val="20"/>
                <w:szCs w:val="20"/>
              </w:rPr>
            </w:pPr>
            <w:r w:rsidRPr="00D50E91">
              <w:rPr>
                <w:b/>
                <w:sz w:val="20"/>
                <w:szCs w:val="20"/>
              </w:rPr>
              <w:t xml:space="preserve"> Az építmény megnevezése</w:t>
            </w:r>
          </w:p>
        </w:tc>
        <w:tc>
          <w:tcPr>
            <w:tcW w:w="8505" w:type="dxa"/>
            <w:gridSpan w:val="6"/>
            <w:tcBorders>
              <w:top w:val="single" w:sz="4" w:space="0" w:color="auto"/>
              <w:left w:val="single" w:sz="4" w:space="0" w:color="auto"/>
              <w:bottom w:val="single" w:sz="4" w:space="0" w:color="auto"/>
              <w:right w:val="single" w:sz="4" w:space="0" w:color="auto"/>
            </w:tcBorders>
          </w:tcPr>
          <w:p w:rsidR="005B415B" w:rsidRPr="00D50E91" w:rsidRDefault="00B771B5" w:rsidP="00C65880">
            <w:pPr>
              <w:autoSpaceDE w:val="0"/>
              <w:autoSpaceDN w:val="0"/>
              <w:adjustRightInd w:val="0"/>
              <w:ind w:left="56" w:right="56"/>
              <w:jc w:val="center"/>
              <w:rPr>
                <w:b/>
                <w:sz w:val="20"/>
                <w:szCs w:val="20"/>
              </w:rPr>
            </w:pPr>
            <w:r w:rsidRPr="00D50E91">
              <w:rPr>
                <w:b/>
                <w:sz w:val="20"/>
                <w:szCs w:val="20"/>
              </w:rPr>
              <w:t xml:space="preserve"> E</w:t>
            </w:r>
            <w:r w:rsidR="005B415B" w:rsidRPr="00D50E91">
              <w:rPr>
                <w:b/>
                <w:sz w:val="20"/>
                <w:szCs w:val="20"/>
              </w:rPr>
              <w:t>gy</w:t>
            </w:r>
            <w:r w:rsidR="003528A8">
              <w:rPr>
                <w:b/>
                <w:sz w:val="20"/>
                <w:szCs w:val="20"/>
              </w:rPr>
              <w:t>-</w:t>
            </w:r>
            <w:r w:rsidR="005B415B" w:rsidRPr="00D50E91">
              <w:rPr>
                <w:b/>
                <w:sz w:val="20"/>
                <w:szCs w:val="20"/>
              </w:rPr>
              <w:t>egy tűzszakaszában szükséges szintenkénti fali tűzcsapok</w:t>
            </w:r>
          </w:p>
        </w:tc>
      </w:tr>
      <w:tr w:rsidR="005B415B" w:rsidRPr="00D50E91" w:rsidTr="00B771B5">
        <w:tc>
          <w:tcPr>
            <w:tcW w:w="56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3</w:t>
            </w:r>
          </w:p>
        </w:tc>
        <w:tc>
          <w:tcPr>
            <w:tcW w:w="2830" w:type="dxa"/>
            <w:tcBorders>
              <w:top w:val="nil"/>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rPr>
                <w:b/>
                <w:sz w:val="20"/>
                <w:szCs w:val="20"/>
              </w:rPr>
            </w:pPr>
            <w:r w:rsidRPr="00D50E91">
              <w:rPr>
                <w:b/>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b/>
                <w:sz w:val="20"/>
                <w:szCs w:val="20"/>
              </w:rPr>
            </w:pPr>
            <w:r w:rsidRPr="00D50E91">
              <w:rPr>
                <w:b/>
                <w:sz w:val="20"/>
                <w:szCs w:val="20"/>
              </w:rPr>
              <w:t xml:space="preserve"> egyidejűsége</w:t>
            </w:r>
          </w:p>
        </w:tc>
        <w:tc>
          <w:tcPr>
            <w:tcW w:w="1417" w:type="dxa"/>
            <w:tcBorders>
              <w:top w:val="single" w:sz="4" w:space="0" w:color="auto"/>
              <w:left w:val="single" w:sz="4" w:space="0" w:color="auto"/>
              <w:bottom w:val="single" w:sz="4" w:space="0" w:color="auto"/>
              <w:right w:val="single" w:sz="4" w:space="0" w:color="auto"/>
            </w:tcBorders>
          </w:tcPr>
          <w:p w:rsidR="005B415B" w:rsidRPr="00D50E91" w:rsidRDefault="005B415B" w:rsidP="00B771B5">
            <w:pPr>
              <w:autoSpaceDE w:val="0"/>
              <w:autoSpaceDN w:val="0"/>
              <w:adjustRightInd w:val="0"/>
              <w:ind w:left="56" w:right="56"/>
              <w:jc w:val="center"/>
              <w:rPr>
                <w:b/>
                <w:sz w:val="20"/>
                <w:szCs w:val="20"/>
              </w:rPr>
            </w:pPr>
            <w:r w:rsidRPr="00D50E91">
              <w:rPr>
                <w:b/>
                <w:sz w:val="20"/>
                <w:szCs w:val="20"/>
              </w:rPr>
              <w:t xml:space="preserve"> </w:t>
            </w:r>
            <w:r w:rsidR="00B771B5" w:rsidRPr="00D50E91">
              <w:rPr>
                <w:b/>
                <w:sz w:val="20"/>
                <w:szCs w:val="20"/>
              </w:rPr>
              <w:t>v</w:t>
            </w:r>
            <w:r w:rsidRPr="00D50E91">
              <w:rPr>
                <w:b/>
                <w:sz w:val="20"/>
                <w:szCs w:val="20"/>
              </w:rPr>
              <w:t>ízhozama</w:t>
            </w:r>
            <w:r w:rsidRPr="00D50E91">
              <w:rPr>
                <w:b/>
                <w:sz w:val="20"/>
                <w:szCs w:val="20"/>
              </w:rPr>
              <w:br/>
              <w:t>[liter/perc/</w:t>
            </w:r>
            <w:r w:rsidRPr="00D50E91">
              <w:rPr>
                <w:b/>
                <w:sz w:val="20"/>
                <w:szCs w:val="20"/>
              </w:rPr>
              <w:br/>
              <w:t>tűzcsap]</w:t>
            </w:r>
          </w:p>
        </w:tc>
        <w:tc>
          <w:tcPr>
            <w:tcW w:w="1418"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b/>
                <w:sz w:val="20"/>
                <w:szCs w:val="20"/>
              </w:rPr>
            </w:pPr>
            <w:r w:rsidRPr="00D50E91">
              <w:rPr>
                <w:b/>
                <w:sz w:val="20"/>
                <w:szCs w:val="20"/>
              </w:rPr>
              <w:t xml:space="preserve"> egyidejűsége</w:t>
            </w:r>
          </w:p>
        </w:tc>
        <w:tc>
          <w:tcPr>
            <w:tcW w:w="1417" w:type="dxa"/>
            <w:tcBorders>
              <w:top w:val="single" w:sz="4" w:space="0" w:color="auto"/>
              <w:left w:val="single" w:sz="4" w:space="0" w:color="auto"/>
              <w:bottom w:val="single" w:sz="4" w:space="0" w:color="auto"/>
              <w:right w:val="single" w:sz="4" w:space="0" w:color="auto"/>
            </w:tcBorders>
          </w:tcPr>
          <w:p w:rsidR="005B415B" w:rsidRPr="00D50E91" w:rsidRDefault="005B415B" w:rsidP="00B771B5">
            <w:pPr>
              <w:autoSpaceDE w:val="0"/>
              <w:autoSpaceDN w:val="0"/>
              <w:adjustRightInd w:val="0"/>
              <w:ind w:left="56" w:right="56"/>
              <w:jc w:val="center"/>
              <w:rPr>
                <w:b/>
                <w:sz w:val="20"/>
                <w:szCs w:val="20"/>
              </w:rPr>
            </w:pPr>
            <w:r w:rsidRPr="00D50E91">
              <w:rPr>
                <w:b/>
                <w:sz w:val="20"/>
                <w:szCs w:val="20"/>
              </w:rPr>
              <w:t xml:space="preserve"> </w:t>
            </w:r>
            <w:r w:rsidR="00B771B5" w:rsidRPr="00D50E91">
              <w:rPr>
                <w:b/>
                <w:sz w:val="20"/>
                <w:szCs w:val="20"/>
              </w:rPr>
              <w:t>v</w:t>
            </w:r>
            <w:r w:rsidRPr="00D50E91">
              <w:rPr>
                <w:b/>
                <w:sz w:val="20"/>
                <w:szCs w:val="20"/>
              </w:rPr>
              <w:t>ízhozama</w:t>
            </w:r>
            <w:r w:rsidRPr="00D50E91">
              <w:rPr>
                <w:b/>
                <w:sz w:val="20"/>
                <w:szCs w:val="20"/>
              </w:rPr>
              <w:br/>
              <w:t>[liter/perc/</w:t>
            </w:r>
            <w:r w:rsidRPr="00D50E91">
              <w:rPr>
                <w:b/>
                <w:sz w:val="20"/>
                <w:szCs w:val="20"/>
              </w:rPr>
              <w:br/>
              <w:t>tűzcsap]</w:t>
            </w:r>
          </w:p>
        </w:tc>
        <w:tc>
          <w:tcPr>
            <w:tcW w:w="1418"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b/>
                <w:sz w:val="20"/>
                <w:szCs w:val="20"/>
              </w:rPr>
            </w:pPr>
            <w:r w:rsidRPr="00D50E91">
              <w:rPr>
                <w:b/>
                <w:sz w:val="20"/>
                <w:szCs w:val="20"/>
              </w:rPr>
              <w:t xml:space="preserve"> egyidejűsége</w:t>
            </w:r>
          </w:p>
        </w:tc>
        <w:tc>
          <w:tcPr>
            <w:tcW w:w="1417" w:type="dxa"/>
            <w:tcBorders>
              <w:top w:val="single" w:sz="4" w:space="0" w:color="auto"/>
              <w:left w:val="single" w:sz="4" w:space="0" w:color="auto"/>
              <w:bottom w:val="single" w:sz="4" w:space="0" w:color="auto"/>
              <w:right w:val="single" w:sz="4" w:space="0" w:color="auto"/>
            </w:tcBorders>
          </w:tcPr>
          <w:p w:rsidR="005B415B" w:rsidRPr="00D50E91" w:rsidRDefault="005B415B" w:rsidP="00B771B5">
            <w:pPr>
              <w:autoSpaceDE w:val="0"/>
              <w:autoSpaceDN w:val="0"/>
              <w:adjustRightInd w:val="0"/>
              <w:ind w:left="56" w:right="56"/>
              <w:jc w:val="center"/>
              <w:rPr>
                <w:b/>
                <w:sz w:val="20"/>
                <w:szCs w:val="20"/>
              </w:rPr>
            </w:pPr>
            <w:r w:rsidRPr="00D50E91">
              <w:rPr>
                <w:b/>
                <w:sz w:val="20"/>
                <w:szCs w:val="20"/>
              </w:rPr>
              <w:t xml:space="preserve"> </w:t>
            </w:r>
            <w:r w:rsidR="00B771B5" w:rsidRPr="00D50E91">
              <w:rPr>
                <w:b/>
                <w:sz w:val="20"/>
                <w:szCs w:val="20"/>
              </w:rPr>
              <w:t>v</w:t>
            </w:r>
            <w:r w:rsidRPr="00D50E91">
              <w:rPr>
                <w:b/>
                <w:sz w:val="20"/>
                <w:szCs w:val="20"/>
              </w:rPr>
              <w:t>ízhozama</w:t>
            </w:r>
            <w:r w:rsidRPr="00D50E91">
              <w:rPr>
                <w:b/>
                <w:sz w:val="20"/>
                <w:szCs w:val="20"/>
              </w:rPr>
              <w:br/>
              <w:t>[liter/perc/</w:t>
            </w:r>
            <w:r w:rsidRPr="00D50E91">
              <w:rPr>
                <w:b/>
                <w:sz w:val="20"/>
                <w:szCs w:val="20"/>
              </w:rPr>
              <w:br/>
              <w:t>tűzcsap]</w:t>
            </w:r>
          </w:p>
        </w:tc>
      </w:tr>
      <w:tr w:rsidR="005B415B" w:rsidRPr="00D50E91" w:rsidTr="00B771B5">
        <w:tc>
          <w:tcPr>
            <w:tcW w:w="56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4</w:t>
            </w:r>
          </w:p>
        </w:tc>
        <w:tc>
          <w:tcPr>
            <w:tcW w:w="283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rPr>
                <w:sz w:val="20"/>
                <w:szCs w:val="20"/>
              </w:rPr>
            </w:pPr>
            <w:r w:rsidRPr="00D50E91">
              <w:rPr>
                <w:sz w:val="20"/>
                <w:szCs w:val="20"/>
              </w:rPr>
              <w:t xml:space="preserve"> Lakóépület</w:t>
            </w:r>
          </w:p>
        </w:tc>
        <w:tc>
          <w:tcPr>
            <w:tcW w:w="1418"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w:t>
            </w:r>
            <w:r w:rsidR="003528A8">
              <w:rPr>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w:t>
            </w:r>
            <w:r w:rsidR="003528A8">
              <w:rPr>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2</w:t>
            </w:r>
          </w:p>
        </w:tc>
        <w:tc>
          <w:tcPr>
            <w:tcW w:w="1417"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150</w:t>
            </w:r>
          </w:p>
        </w:tc>
        <w:tc>
          <w:tcPr>
            <w:tcW w:w="1418"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2</w:t>
            </w:r>
          </w:p>
        </w:tc>
        <w:tc>
          <w:tcPr>
            <w:tcW w:w="1417"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200</w:t>
            </w:r>
          </w:p>
        </w:tc>
      </w:tr>
      <w:tr w:rsidR="005B415B" w:rsidRPr="00D50E91" w:rsidTr="00B771B5">
        <w:tc>
          <w:tcPr>
            <w:tcW w:w="56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5</w:t>
            </w:r>
          </w:p>
        </w:tc>
        <w:tc>
          <w:tcPr>
            <w:tcW w:w="283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rPr>
                <w:sz w:val="20"/>
                <w:szCs w:val="20"/>
              </w:rPr>
            </w:pPr>
            <w:r w:rsidRPr="00D50E91">
              <w:rPr>
                <w:sz w:val="20"/>
                <w:szCs w:val="20"/>
              </w:rPr>
              <w:t xml:space="preserve"> Igazgatási, iroda</w:t>
            </w:r>
            <w:r w:rsidR="003528A8">
              <w:rPr>
                <w:sz w:val="20"/>
                <w:szCs w:val="20"/>
              </w:rPr>
              <w:t>-</w:t>
            </w:r>
            <w:r w:rsidRPr="00D50E91">
              <w:rPr>
                <w:sz w:val="20"/>
                <w:szCs w:val="20"/>
              </w:rPr>
              <w:t xml:space="preserve"> és oktatási épület</w:t>
            </w:r>
          </w:p>
        </w:tc>
        <w:tc>
          <w:tcPr>
            <w:tcW w:w="1418"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w:t>
            </w:r>
          </w:p>
        </w:tc>
        <w:tc>
          <w:tcPr>
            <w:tcW w:w="1417"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80</w:t>
            </w:r>
          </w:p>
        </w:tc>
        <w:tc>
          <w:tcPr>
            <w:tcW w:w="1418"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2</w:t>
            </w:r>
          </w:p>
        </w:tc>
        <w:tc>
          <w:tcPr>
            <w:tcW w:w="1417"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150</w:t>
            </w:r>
          </w:p>
        </w:tc>
        <w:tc>
          <w:tcPr>
            <w:tcW w:w="1418"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4</w:t>
            </w:r>
          </w:p>
        </w:tc>
        <w:tc>
          <w:tcPr>
            <w:tcW w:w="1417"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200</w:t>
            </w:r>
          </w:p>
        </w:tc>
      </w:tr>
      <w:tr w:rsidR="005B415B" w:rsidRPr="00D50E91" w:rsidTr="00B771B5">
        <w:tc>
          <w:tcPr>
            <w:tcW w:w="56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6</w:t>
            </w:r>
          </w:p>
        </w:tc>
        <w:tc>
          <w:tcPr>
            <w:tcW w:w="283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rPr>
                <w:sz w:val="20"/>
                <w:szCs w:val="20"/>
              </w:rPr>
            </w:pPr>
            <w:r w:rsidRPr="00D50E91">
              <w:rPr>
                <w:sz w:val="20"/>
                <w:szCs w:val="20"/>
              </w:rPr>
              <w:t xml:space="preserve"> Egészségügyi, szociális intézmények, szállás épületek</w:t>
            </w:r>
          </w:p>
        </w:tc>
        <w:tc>
          <w:tcPr>
            <w:tcW w:w="1418"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2</w:t>
            </w:r>
          </w:p>
        </w:tc>
        <w:tc>
          <w:tcPr>
            <w:tcW w:w="1417"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100</w:t>
            </w:r>
          </w:p>
        </w:tc>
        <w:tc>
          <w:tcPr>
            <w:tcW w:w="1418"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3</w:t>
            </w:r>
          </w:p>
        </w:tc>
        <w:tc>
          <w:tcPr>
            <w:tcW w:w="1417"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150</w:t>
            </w:r>
          </w:p>
        </w:tc>
        <w:tc>
          <w:tcPr>
            <w:tcW w:w="1418"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4</w:t>
            </w:r>
          </w:p>
        </w:tc>
        <w:tc>
          <w:tcPr>
            <w:tcW w:w="1417"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200</w:t>
            </w:r>
          </w:p>
        </w:tc>
      </w:tr>
      <w:tr w:rsidR="005B415B" w:rsidRPr="00D50E91" w:rsidTr="00B771B5">
        <w:tc>
          <w:tcPr>
            <w:tcW w:w="56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7</w:t>
            </w:r>
          </w:p>
        </w:tc>
        <w:tc>
          <w:tcPr>
            <w:tcW w:w="283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rPr>
                <w:sz w:val="20"/>
                <w:szCs w:val="20"/>
              </w:rPr>
            </w:pPr>
            <w:r w:rsidRPr="00D50E91">
              <w:rPr>
                <w:sz w:val="20"/>
                <w:szCs w:val="20"/>
              </w:rPr>
              <w:t xml:space="preserve"> Egyéb közösségi épületek</w:t>
            </w:r>
          </w:p>
        </w:tc>
        <w:tc>
          <w:tcPr>
            <w:tcW w:w="1418"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2</w:t>
            </w:r>
          </w:p>
        </w:tc>
        <w:tc>
          <w:tcPr>
            <w:tcW w:w="1417"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150</w:t>
            </w:r>
          </w:p>
        </w:tc>
        <w:tc>
          <w:tcPr>
            <w:tcW w:w="1418"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3</w:t>
            </w:r>
          </w:p>
        </w:tc>
        <w:tc>
          <w:tcPr>
            <w:tcW w:w="1417"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200</w:t>
            </w:r>
          </w:p>
        </w:tc>
        <w:tc>
          <w:tcPr>
            <w:tcW w:w="1418"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4</w:t>
            </w:r>
          </w:p>
        </w:tc>
        <w:tc>
          <w:tcPr>
            <w:tcW w:w="1417"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200</w:t>
            </w:r>
          </w:p>
        </w:tc>
      </w:tr>
      <w:tr w:rsidR="005B415B" w:rsidRPr="00D50E91" w:rsidTr="00B771B5">
        <w:tc>
          <w:tcPr>
            <w:tcW w:w="56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8</w:t>
            </w:r>
          </w:p>
        </w:tc>
        <w:tc>
          <w:tcPr>
            <w:tcW w:w="283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rPr>
                <w:sz w:val="20"/>
                <w:szCs w:val="20"/>
              </w:rPr>
            </w:pPr>
            <w:r w:rsidRPr="00D50E91">
              <w:rPr>
                <w:sz w:val="20"/>
                <w:szCs w:val="20"/>
              </w:rPr>
              <w:t xml:space="preserve"> Ipari, mezőgazdasági, termelő, tárolási épületek</w:t>
            </w:r>
          </w:p>
        </w:tc>
        <w:tc>
          <w:tcPr>
            <w:tcW w:w="1418"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2</w:t>
            </w:r>
          </w:p>
        </w:tc>
        <w:tc>
          <w:tcPr>
            <w:tcW w:w="1417"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150</w:t>
            </w:r>
          </w:p>
        </w:tc>
        <w:tc>
          <w:tcPr>
            <w:tcW w:w="1418"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3</w:t>
            </w:r>
          </w:p>
        </w:tc>
        <w:tc>
          <w:tcPr>
            <w:tcW w:w="1417"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150</w:t>
            </w:r>
          </w:p>
        </w:tc>
        <w:tc>
          <w:tcPr>
            <w:tcW w:w="1418"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4</w:t>
            </w:r>
          </w:p>
        </w:tc>
        <w:tc>
          <w:tcPr>
            <w:tcW w:w="1417"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200</w:t>
            </w:r>
          </w:p>
        </w:tc>
      </w:tr>
    </w:tbl>
    <w:p w:rsidR="005B415B" w:rsidRPr="00D50E91" w:rsidRDefault="005B415B" w:rsidP="00595B18">
      <w:pPr>
        <w:jc w:val="both"/>
      </w:pPr>
    </w:p>
    <w:p w:rsidR="005B415B" w:rsidRPr="00D50E91" w:rsidRDefault="005B415B">
      <w:pPr>
        <w:spacing w:after="200" w:line="276" w:lineRule="auto"/>
      </w:pPr>
      <w:r w:rsidRPr="00D50E91">
        <w:br w:type="page"/>
      </w:r>
    </w:p>
    <w:p w:rsidR="005B415B" w:rsidRPr="00D50E91" w:rsidRDefault="005B415B" w:rsidP="00443660">
      <w:pPr>
        <w:autoSpaceDE w:val="0"/>
        <w:autoSpaceDN w:val="0"/>
        <w:adjustRightInd w:val="0"/>
        <w:jc w:val="right"/>
        <w:rPr>
          <w:i/>
        </w:rPr>
      </w:pPr>
      <w:r w:rsidRPr="00D50E91">
        <w:rPr>
          <w:i/>
        </w:rPr>
        <w:lastRenderedPageBreak/>
        <w:t>7. melléklet a …./2018. (……) BM rendelethez</w:t>
      </w:r>
    </w:p>
    <w:p w:rsidR="005B415B" w:rsidRPr="00D50E91" w:rsidRDefault="005B415B" w:rsidP="00443660">
      <w:pPr>
        <w:jc w:val="both"/>
      </w:pPr>
    </w:p>
    <w:p w:rsidR="005B415B" w:rsidRPr="00D50E91" w:rsidRDefault="005B415B" w:rsidP="00443660">
      <w:pPr>
        <w:pStyle w:val="Szvegtrzs"/>
        <w:rPr>
          <w:i/>
        </w:rPr>
      </w:pPr>
      <w:r w:rsidRPr="00D50E91">
        <w:rPr>
          <w:i/>
        </w:rPr>
        <w:t>9. melléklet az 54/2014. (XII. 5.) BM rendelethez</w:t>
      </w:r>
    </w:p>
    <w:p w:rsidR="005B415B" w:rsidRPr="00D50E91" w:rsidRDefault="005B415B" w:rsidP="00443660">
      <w:pPr>
        <w:jc w:val="both"/>
      </w:pPr>
    </w:p>
    <w:p w:rsidR="005B415B" w:rsidRPr="00D50E91" w:rsidRDefault="005B415B" w:rsidP="00443660">
      <w:pPr>
        <w:jc w:val="both"/>
        <w:rPr>
          <w:b/>
          <w:sz w:val="20"/>
          <w:szCs w:val="20"/>
        </w:rPr>
      </w:pPr>
      <w:r w:rsidRPr="00D50E91">
        <w:rPr>
          <w:b/>
          <w:sz w:val="20"/>
          <w:szCs w:val="20"/>
        </w:rPr>
        <w:t>1. táblázat, a Hő</w:t>
      </w:r>
      <w:r w:rsidR="003528A8">
        <w:rPr>
          <w:b/>
          <w:sz w:val="20"/>
          <w:szCs w:val="20"/>
        </w:rPr>
        <w:t>-</w:t>
      </w:r>
      <w:r w:rsidRPr="00D50E91">
        <w:rPr>
          <w:b/>
          <w:sz w:val="20"/>
          <w:szCs w:val="20"/>
        </w:rPr>
        <w:t xml:space="preserve"> és füstelvezetés alcímhez</w:t>
      </w:r>
    </w:p>
    <w:p w:rsidR="005B415B" w:rsidRPr="00D50E91" w:rsidRDefault="005B415B" w:rsidP="00595B18">
      <w:pPr>
        <w:jc w:val="both"/>
      </w:pPr>
    </w:p>
    <w:tbl>
      <w:tblPr>
        <w:tblW w:w="4424" w:type="pct"/>
        <w:tblCellMar>
          <w:left w:w="0" w:type="dxa"/>
          <w:right w:w="0" w:type="dxa"/>
        </w:tblCellMar>
        <w:tblLook w:val="0000" w:firstRow="0" w:lastRow="0" w:firstColumn="0" w:lastColumn="0" w:noHBand="0" w:noVBand="0"/>
      </w:tblPr>
      <w:tblGrid>
        <w:gridCol w:w="859"/>
        <w:gridCol w:w="2600"/>
        <w:gridCol w:w="2613"/>
        <w:gridCol w:w="1739"/>
        <w:gridCol w:w="1739"/>
        <w:gridCol w:w="1660"/>
        <w:gridCol w:w="1843"/>
      </w:tblGrid>
      <w:tr w:rsidR="005B415B" w:rsidRPr="00D50E91" w:rsidTr="000F76B5">
        <w:tc>
          <w:tcPr>
            <w:tcW w:w="329" w:type="pct"/>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rPr>
                <w:sz w:val="20"/>
                <w:szCs w:val="20"/>
              </w:rPr>
            </w:pPr>
          </w:p>
        </w:tc>
        <w:tc>
          <w:tcPr>
            <w:tcW w:w="1997" w:type="pct"/>
            <w:gridSpan w:val="2"/>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A</w:t>
            </w:r>
          </w:p>
        </w:tc>
        <w:tc>
          <w:tcPr>
            <w:tcW w:w="1968" w:type="pct"/>
            <w:gridSpan w:val="3"/>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B</w:t>
            </w:r>
          </w:p>
        </w:tc>
        <w:tc>
          <w:tcPr>
            <w:tcW w:w="706" w:type="pct"/>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C</w:t>
            </w:r>
          </w:p>
        </w:tc>
      </w:tr>
      <w:tr w:rsidR="005B415B" w:rsidRPr="00D50E91" w:rsidTr="000F76B5">
        <w:tc>
          <w:tcPr>
            <w:tcW w:w="329" w:type="pct"/>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w:t>
            </w:r>
          </w:p>
        </w:tc>
        <w:tc>
          <w:tcPr>
            <w:tcW w:w="1997" w:type="pct"/>
            <w:gridSpan w:val="2"/>
            <w:tcBorders>
              <w:top w:val="single" w:sz="4" w:space="0" w:color="auto"/>
              <w:left w:val="single" w:sz="4" w:space="0" w:color="auto"/>
              <w:bottom w:val="nil"/>
              <w:right w:val="single" w:sz="4" w:space="0" w:color="auto"/>
            </w:tcBorders>
          </w:tcPr>
          <w:p w:rsidR="005B415B" w:rsidRPr="00D50E91" w:rsidRDefault="005B415B" w:rsidP="00C65880">
            <w:pPr>
              <w:autoSpaceDE w:val="0"/>
              <w:autoSpaceDN w:val="0"/>
              <w:adjustRightInd w:val="0"/>
              <w:rPr>
                <w:b/>
                <w:sz w:val="20"/>
                <w:szCs w:val="20"/>
              </w:rPr>
            </w:pPr>
            <w:r w:rsidRPr="00D50E91">
              <w:rPr>
                <w:b/>
                <w:sz w:val="20"/>
                <w:szCs w:val="20"/>
              </w:rPr>
              <w:t xml:space="preserve"> </w:t>
            </w:r>
          </w:p>
        </w:tc>
        <w:tc>
          <w:tcPr>
            <w:tcW w:w="1968" w:type="pct"/>
            <w:gridSpan w:val="3"/>
            <w:tcBorders>
              <w:top w:val="single" w:sz="4" w:space="0" w:color="auto"/>
              <w:left w:val="single" w:sz="4" w:space="0" w:color="auto"/>
              <w:bottom w:val="single" w:sz="4" w:space="0" w:color="auto"/>
              <w:right w:val="single" w:sz="4" w:space="0" w:color="auto"/>
            </w:tcBorders>
          </w:tcPr>
          <w:p w:rsidR="005B415B" w:rsidRPr="00D50E91" w:rsidRDefault="005B415B" w:rsidP="00FC28BF">
            <w:pPr>
              <w:autoSpaceDE w:val="0"/>
              <w:autoSpaceDN w:val="0"/>
              <w:adjustRightInd w:val="0"/>
              <w:ind w:left="56" w:right="56"/>
              <w:jc w:val="center"/>
              <w:rPr>
                <w:b/>
                <w:sz w:val="20"/>
                <w:szCs w:val="20"/>
              </w:rPr>
            </w:pPr>
            <w:r w:rsidRPr="00D50E91">
              <w:rPr>
                <w:b/>
                <w:sz w:val="20"/>
                <w:szCs w:val="20"/>
              </w:rPr>
              <w:t xml:space="preserve"> </w:t>
            </w:r>
            <w:r w:rsidR="00FC28BF" w:rsidRPr="00D50E91">
              <w:rPr>
                <w:b/>
                <w:sz w:val="20"/>
                <w:szCs w:val="20"/>
              </w:rPr>
              <w:t>T</w:t>
            </w:r>
            <w:r w:rsidRPr="00D50E91">
              <w:rPr>
                <w:b/>
                <w:sz w:val="20"/>
                <w:szCs w:val="20"/>
              </w:rPr>
              <w:t>ermészetes füstelvezetés legkisebb mértéke</w:t>
            </w:r>
          </w:p>
        </w:tc>
        <w:tc>
          <w:tcPr>
            <w:tcW w:w="706" w:type="pct"/>
            <w:tcBorders>
              <w:top w:val="single" w:sz="4" w:space="0" w:color="auto"/>
              <w:left w:val="single" w:sz="4" w:space="0" w:color="auto"/>
              <w:bottom w:val="nil"/>
              <w:right w:val="single" w:sz="4" w:space="0" w:color="auto"/>
            </w:tcBorders>
          </w:tcPr>
          <w:p w:rsidR="005B415B" w:rsidRPr="00D50E91" w:rsidRDefault="005B415B" w:rsidP="00C65880">
            <w:pPr>
              <w:autoSpaceDE w:val="0"/>
              <w:autoSpaceDN w:val="0"/>
              <w:adjustRightInd w:val="0"/>
              <w:ind w:left="56" w:right="56"/>
              <w:jc w:val="center"/>
              <w:rPr>
                <w:b/>
                <w:sz w:val="20"/>
                <w:szCs w:val="20"/>
              </w:rPr>
            </w:pPr>
            <w:r w:rsidRPr="00D50E91">
              <w:rPr>
                <w:b/>
                <w:sz w:val="20"/>
                <w:szCs w:val="20"/>
              </w:rPr>
              <w:t xml:space="preserve"> Légcsere mértéke (ha nem a hatásos </w:t>
            </w:r>
          </w:p>
        </w:tc>
      </w:tr>
      <w:tr w:rsidR="005B415B" w:rsidRPr="00D50E91" w:rsidTr="000F76B5">
        <w:tc>
          <w:tcPr>
            <w:tcW w:w="329" w:type="pct"/>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2</w:t>
            </w:r>
          </w:p>
        </w:tc>
        <w:tc>
          <w:tcPr>
            <w:tcW w:w="1997" w:type="pct"/>
            <w:gridSpan w:val="2"/>
            <w:tcBorders>
              <w:top w:val="nil"/>
              <w:left w:val="single" w:sz="4" w:space="0" w:color="auto"/>
              <w:bottom w:val="nil"/>
              <w:right w:val="single" w:sz="4" w:space="0" w:color="auto"/>
            </w:tcBorders>
          </w:tcPr>
          <w:p w:rsidR="005B415B" w:rsidRPr="00D50E91" w:rsidRDefault="005B415B" w:rsidP="00FC28BF">
            <w:pPr>
              <w:autoSpaceDE w:val="0"/>
              <w:autoSpaceDN w:val="0"/>
              <w:adjustRightInd w:val="0"/>
              <w:ind w:left="56" w:right="56"/>
              <w:jc w:val="center"/>
              <w:rPr>
                <w:b/>
                <w:sz w:val="20"/>
                <w:szCs w:val="20"/>
              </w:rPr>
            </w:pPr>
            <w:r w:rsidRPr="00D50E91">
              <w:rPr>
                <w:b/>
                <w:sz w:val="20"/>
                <w:szCs w:val="20"/>
              </w:rPr>
              <w:t xml:space="preserve"> </w:t>
            </w:r>
            <w:r w:rsidR="00FC28BF" w:rsidRPr="00D50E91">
              <w:rPr>
                <w:b/>
                <w:sz w:val="20"/>
                <w:szCs w:val="20"/>
              </w:rPr>
              <w:t>É</w:t>
            </w:r>
            <w:r w:rsidRPr="00D50E91">
              <w:rPr>
                <w:b/>
                <w:sz w:val="20"/>
                <w:szCs w:val="20"/>
              </w:rPr>
              <w:t>rintett helyiség</w:t>
            </w:r>
          </w:p>
        </w:tc>
        <w:tc>
          <w:tcPr>
            <w:tcW w:w="1332" w:type="pct"/>
            <w:gridSpan w:val="2"/>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right="56"/>
              <w:jc w:val="center"/>
              <w:rPr>
                <w:b/>
                <w:sz w:val="20"/>
                <w:szCs w:val="20"/>
              </w:rPr>
            </w:pPr>
            <w:r w:rsidRPr="00D50E91">
              <w:rPr>
                <w:b/>
                <w:sz w:val="20"/>
                <w:szCs w:val="20"/>
              </w:rPr>
              <w:t xml:space="preserve"> </w:t>
            </w:r>
            <w:r w:rsidR="00FC28BF" w:rsidRPr="00D50E91">
              <w:rPr>
                <w:b/>
                <w:sz w:val="20"/>
                <w:szCs w:val="20"/>
              </w:rPr>
              <w:t>H</w:t>
            </w:r>
            <w:r w:rsidRPr="00D50E91">
              <w:rPr>
                <w:b/>
                <w:sz w:val="20"/>
                <w:szCs w:val="20"/>
              </w:rPr>
              <w:t>atásos nyílásfelület</w:t>
            </w:r>
          </w:p>
        </w:tc>
        <w:tc>
          <w:tcPr>
            <w:tcW w:w="636" w:type="pct"/>
            <w:tcBorders>
              <w:top w:val="single" w:sz="4" w:space="0" w:color="auto"/>
              <w:left w:val="single" w:sz="4" w:space="0" w:color="auto"/>
              <w:bottom w:val="nil"/>
              <w:right w:val="single" w:sz="4" w:space="0" w:color="auto"/>
            </w:tcBorders>
          </w:tcPr>
          <w:p w:rsidR="005B415B" w:rsidRPr="00D50E91" w:rsidRDefault="005B415B" w:rsidP="00FC28BF">
            <w:pPr>
              <w:autoSpaceDE w:val="0"/>
              <w:autoSpaceDN w:val="0"/>
              <w:adjustRightInd w:val="0"/>
              <w:ind w:left="56" w:right="56"/>
              <w:jc w:val="center"/>
              <w:rPr>
                <w:b/>
                <w:sz w:val="20"/>
                <w:szCs w:val="20"/>
              </w:rPr>
            </w:pPr>
            <w:r w:rsidRPr="00D50E91">
              <w:rPr>
                <w:b/>
                <w:sz w:val="20"/>
                <w:szCs w:val="20"/>
              </w:rPr>
              <w:t xml:space="preserve"> </w:t>
            </w:r>
            <w:r w:rsidR="00FC28BF" w:rsidRPr="00D50E91">
              <w:rPr>
                <w:b/>
                <w:sz w:val="20"/>
                <w:szCs w:val="20"/>
              </w:rPr>
              <w:t>F</w:t>
            </w:r>
            <w:r w:rsidRPr="00D50E91">
              <w:rPr>
                <w:b/>
                <w:sz w:val="20"/>
                <w:szCs w:val="20"/>
              </w:rPr>
              <w:t>üstszegény levegőréteg</w:t>
            </w:r>
          </w:p>
        </w:tc>
        <w:tc>
          <w:tcPr>
            <w:tcW w:w="706" w:type="pct"/>
            <w:tcBorders>
              <w:top w:val="nil"/>
              <w:left w:val="single" w:sz="4" w:space="0" w:color="auto"/>
              <w:bottom w:val="nil"/>
              <w:right w:val="single" w:sz="4" w:space="0" w:color="auto"/>
            </w:tcBorders>
          </w:tcPr>
          <w:p w:rsidR="005B415B" w:rsidRPr="00D50E91" w:rsidRDefault="005B415B" w:rsidP="00C65880">
            <w:pPr>
              <w:autoSpaceDE w:val="0"/>
              <w:autoSpaceDN w:val="0"/>
              <w:adjustRightInd w:val="0"/>
              <w:ind w:left="56" w:right="56"/>
              <w:jc w:val="center"/>
              <w:rPr>
                <w:b/>
                <w:sz w:val="20"/>
                <w:szCs w:val="20"/>
              </w:rPr>
            </w:pPr>
            <w:r w:rsidRPr="00D50E91">
              <w:rPr>
                <w:b/>
                <w:sz w:val="20"/>
                <w:szCs w:val="20"/>
              </w:rPr>
              <w:t xml:space="preserve"> nyílásfelületet alkalmazzák)</w:t>
            </w:r>
          </w:p>
        </w:tc>
      </w:tr>
      <w:tr w:rsidR="005B415B" w:rsidRPr="00D50E91" w:rsidTr="000F76B5">
        <w:tc>
          <w:tcPr>
            <w:tcW w:w="329" w:type="pct"/>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3</w:t>
            </w:r>
          </w:p>
        </w:tc>
        <w:tc>
          <w:tcPr>
            <w:tcW w:w="1997" w:type="pct"/>
            <w:gridSpan w:val="2"/>
            <w:tcBorders>
              <w:top w:val="nil"/>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rPr>
                <w:b/>
                <w:sz w:val="20"/>
                <w:szCs w:val="20"/>
              </w:rPr>
            </w:pPr>
            <w:r w:rsidRPr="00D50E91">
              <w:rPr>
                <w:b/>
                <w:sz w:val="20"/>
                <w:szCs w:val="20"/>
              </w:rPr>
              <w:t xml:space="preserve"> </w:t>
            </w:r>
          </w:p>
        </w:tc>
        <w:tc>
          <w:tcPr>
            <w:tcW w:w="666" w:type="pct"/>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b/>
                <w:sz w:val="20"/>
                <w:szCs w:val="20"/>
              </w:rPr>
            </w:pPr>
            <w:r w:rsidRPr="00D50E91">
              <w:rPr>
                <w:b/>
                <w:sz w:val="20"/>
                <w:szCs w:val="20"/>
              </w:rPr>
              <w:t xml:space="preserve"> a helyiség alapterületé</w:t>
            </w:r>
            <w:r w:rsidR="003528A8">
              <w:rPr>
                <w:b/>
                <w:sz w:val="20"/>
                <w:szCs w:val="20"/>
              </w:rPr>
              <w:t>-</w:t>
            </w:r>
            <w:r w:rsidRPr="00D50E91">
              <w:rPr>
                <w:b/>
                <w:sz w:val="20"/>
                <w:szCs w:val="20"/>
              </w:rPr>
              <w:br/>
              <w:t>nek %</w:t>
            </w:r>
            <w:r w:rsidR="003528A8">
              <w:rPr>
                <w:b/>
                <w:sz w:val="20"/>
                <w:szCs w:val="20"/>
              </w:rPr>
              <w:t>-</w:t>
            </w:r>
            <w:r w:rsidRPr="00D50E91">
              <w:rPr>
                <w:b/>
                <w:sz w:val="20"/>
                <w:szCs w:val="20"/>
              </w:rPr>
              <w:t>ában kifejezve</w:t>
            </w:r>
          </w:p>
        </w:tc>
        <w:tc>
          <w:tcPr>
            <w:tcW w:w="666" w:type="pct"/>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b/>
                <w:sz w:val="20"/>
                <w:szCs w:val="20"/>
              </w:rPr>
            </w:pPr>
            <w:r w:rsidRPr="00D50E91">
              <w:rPr>
                <w:b/>
                <w:sz w:val="20"/>
                <w:szCs w:val="20"/>
              </w:rPr>
              <w:t xml:space="preserve"> minimuma</w:t>
            </w:r>
            <w:r w:rsidRPr="00D50E91">
              <w:rPr>
                <w:b/>
                <w:sz w:val="20"/>
                <w:szCs w:val="20"/>
              </w:rPr>
              <w:br/>
              <w:t>(m</w:t>
            </w:r>
            <w:r w:rsidRPr="00D50E91">
              <w:rPr>
                <w:b/>
                <w:sz w:val="20"/>
                <w:szCs w:val="20"/>
                <w:vertAlign w:val="superscript"/>
              </w:rPr>
              <w:t>2</w:t>
            </w:r>
            <w:r w:rsidRPr="00D50E91">
              <w:rPr>
                <w:b/>
                <w:sz w:val="20"/>
                <w:szCs w:val="20"/>
              </w:rPr>
              <w:t>)</w:t>
            </w:r>
          </w:p>
        </w:tc>
        <w:tc>
          <w:tcPr>
            <w:tcW w:w="636" w:type="pct"/>
            <w:tcBorders>
              <w:top w:val="nil"/>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b/>
                <w:sz w:val="20"/>
                <w:szCs w:val="20"/>
              </w:rPr>
            </w:pPr>
            <w:r w:rsidRPr="00D50E91">
              <w:rPr>
                <w:b/>
                <w:sz w:val="20"/>
                <w:szCs w:val="20"/>
              </w:rPr>
              <w:t xml:space="preserve"> magassága (m)</w:t>
            </w:r>
          </w:p>
        </w:tc>
        <w:tc>
          <w:tcPr>
            <w:tcW w:w="706" w:type="pct"/>
            <w:tcBorders>
              <w:top w:val="nil"/>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rPr>
                <w:b/>
                <w:sz w:val="20"/>
                <w:szCs w:val="20"/>
              </w:rPr>
            </w:pPr>
            <w:r w:rsidRPr="00D50E91">
              <w:rPr>
                <w:b/>
                <w:sz w:val="20"/>
                <w:szCs w:val="20"/>
              </w:rPr>
              <w:t xml:space="preserve"> </w:t>
            </w:r>
          </w:p>
        </w:tc>
      </w:tr>
      <w:tr w:rsidR="005B415B" w:rsidRPr="00D50E91" w:rsidTr="000F76B5">
        <w:tc>
          <w:tcPr>
            <w:tcW w:w="329" w:type="pct"/>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4</w:t>
            </w:r>
          </w:p>
        </w:tc>
        <w:tc>
          <w:tcPr>
            <w:tcW w:w="996" w:type="pct"/>
            <w:tcBorders>
              <w:top w:val="single" w:sz="4" w:space="0" w:color="auto"/>
              <w:left w:val="single" w:sz="4" w:space="0" w:color="auto"/>
              <w:bottom w:val="nil"/>
              <w:right w:val="single" w:sz="4" w:space="0" w:color="auto"/>
            </w:tcBorders>
          </w:tcPr>
          <w:p w:rsidR="005B415B" w:rsidRPr="00D50E91" w:rsidRDefault="005B415B" w:rsidP="00FC28BF">
            <w:pPr>
              <w:autoSpaceDE w:val="0"/>
              <w:autoSpaceDN w:val="0"/>
              <w:adjustRightInd w:val="0"/>
              <w:ind w:left="56" w:right="56"/>
              <w:jc w:val="center"/>
              <w:rPr>
                <w:sz w:val="20"/>
                <w:szCs w:val="20"/>
              </w:rPr>
            </w:pPr>
            <w:r w:rsidRPr="00D50E91">
              <w:rPr>
                <w:sz w:val="20"/>
                <w:szCs w:val="20"/>
              </w:rPr>
              <w:t xml:space="preserve"> </w:t>
            </w:r>
            <w:r w:rsidR="00FC28BF" w:rsidRPr="00D50E91">
              <w:rPr>
                <w:sz w:val="20"/>
                <w:szCs w:val="20"/>
              </w:rPr>
              <w:t>M</w:t>
            </w:r>
            <w:r w:rsidRPr="00D50E91">
              <w:rPr>
                <w:sz w:val="20"/>
                <w:szCs w:val="20"/>
              </w:rPr>
              <w:t>enekülési útvonalat képező</w:t>
            </w:r>
          </w:p>
        </w:tc>
        <w:tc>
          <w:tcPr>
            <w:tcW w:w="1001" w:type="pct"/>
            <w:tcBorders>
              <w:top w:val="single" w:sz="4" w:space="0" w:color="auto"/>
              <w:left w:val="single" w:sz="4" w:space="0" w:color="auto"/>
              <w:bottom w:val="nil"/>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közlekedő, folyosó</w:t>
            </w:r>
          </w:p>
        </w:tc>
        <w:tc>
          <w:tcPr>
            <w:tcW w:w="666" w:type="pct"/>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w:t>
            </w:r>
          </w:p>
        </w:tc>
        <w:tc>
          <w:tcPr>
            <w:tcW w:w="666" w:type="pct"/>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 m</w:t>
            </w:r>
            <w:r w:rsidRPr="00D50E91">
              <w:rPr>
                <w:sz w:val="20"/>
                <w:szCs w:val="20"/>
                <w:vertAlign w:val="superscript"/>
              </w:rPr>
              <w:t>2</w:t>
            </w:r>
          </w:p>
        </w:tc>
        <w:tc>
          <w:tcPr>
            <w:tcW w:w="636" w:type="pct"/>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w:t>
            </w:r>
            <w:r w:rsidR="003528A8">
              <w:rPr>
                <w:sz w:val="20"/>
                <w:szCs w:val="20"/>
              </w:rPr>
              <w:t>-</w:t>
            </w:r>
          </w:p>
        </w:tc>
        <w:tc>
          <w:tcPr>
            <w:tcW w:w="706" w:type="pct"/>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30/óra</w:t>
            </w:r>
          </w:p>
        </w:tc>
      </w:tr>
      <w:tr w:rsidR="005B415B" w:rsidRPr="00D50E91" w:rsidTr="000F76B5">
        <w:tc>
          <w:tcPr>
            <w:tcW w:w="329" w:type="pct"/>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5</w:t>
            </w:r>
          </w:p>
        </w:tc>
        <w:tc>
          <w:tcPr>
            <w:tcW w:w="996" w:type="pct"/>
            <w:tcBorders>
              <w:top w:val="nil"/>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rPr>
                <w:sz w:val="20"/>
                <w:szCs w:val="20"/>
              </w:rPr>
            </w:pPr>
            <w:r w:rsidRPr="00D50E91">
              <w:rPr>
                <w:sz w:val="20"/>
                <w:szCs w:val="20"/>
              </w:rPr>
              <w:t xml:space="preserve"> </w:t>
            </w:r>
          </w:p>
        </w:tc>
        <w:tc>
          <w:tcPr>
            <w:tcW w:w="1001" w:type="pct"/>
            <w:tcBorders>
              <w:top w:val="single" w:sz="4" w:space="0" w:color="auto"/>
              <w:left w:val="single" w:sz="4" w:space="0" w:color="auto"/>
              <w:bottom w:val="single" w:sz="4" w:space="0" w:color="auto"/>
              <w:right w:val="single" w:sz="4" w:space="0" w:color="auto"/>
            </w:tcBorders>
          </w:tcPr>
          <w:p w:rsidR="005B415B" w:rsidRPr="00D50E91" w:rsidRDefault="005B415B" w:rsidP="00FC28BF">
            <w:pPr>
              <w:autoSpaceDE w:val="0"/>
              <w:autoSpaceDN w:val="0"/>
              <w:adjustRightInd w:val="0"/>
              <w:ind w:left="56" w:right="56"/>
              <w:jc w:val="center"/>
              <w:rPr>
                <w:sz w:val="20"/>
                <w:szCs w:val="20"/>
              </w:rPr>
            </w:pPr>
            <w:r w:rsidRPr="00D50E91">
              <w:rPr>
                <w:sz w:val="20"/>
                <w:szCs w:val="20"/>
              </w:rPr>
              <w:t xml:space="preserve"> </w:t>
            </w:r>
            <w:r w:rsidR="00FC28BF" w:rsidRPr="00D50E91">
              <w:rPr>
                <w:sz w:val="20"/>
                <w:szCs w:val="20"/>
              </w:rPr>
              <w:t>l</w:t>
            </w:r>
            <w:r w:rsidRPr="00D50E91">
              <w:rPr>
                <w:sz w:val="20"/>
                <w:szCs w:val="20"/>
              </w:rPr>
              <w:t>épcsőház</w:t>
            </w:r>
          </w:p>
        </w:tc>
        <w:tc>
          <w:tcPr>
            <w:tcW w:w="666" w:type="pct"/>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5</w:t>
            </w:r>
          </w:p>
        </w:tc>
        <w:tc>
          <w:tcPr>
            <w:tcW w:w="666" w:type="pct"/>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 m</w:t>
            </w:r>
            <w:r w:rsidRPr="00D50E91">
              <w:rPr>
                <w:sz w:val="20"/>
                <w:szCs w:val="20"/>
                <w:vertAlign w:val="superscript"/>
              </w:rPr>
              <w:t>2</w:t>
            </w:r>
          </w:p>
        </w:tc>
        <w:tc>
          <w:tcPr>
            <w:tcW w:w="636" w:type="pct"/>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w:t>
            </w:r>
            <w:r w:rsidR="003528A8">
              <w:rPr>
                <w:sz w:val="20"/>
                <w:szCs w:val="20"/>
              </w:rPr>
              <w:t>-</w:t>
            </w:r>
          </w:p>
        </w:tc>
        <w:tc>
          <w:tcPr>
            <w:tcW w:w="706" w:type="pct"/>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30/óra</w:t>
            </w:r>
          </w:p>
        </w:tc>
      </w:tr>
      <w:tr w:rsidR="005B415B" w:rsidRPr="00D50E91" w:rsidTr="000F76B5">
        <w:tc>
          <w:tcPr>
            <w:tcW w:w="329" w:type="pct"/>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6</w:t>
            </w:r>
          </w:p>
        </w:tc>
        <w:tc>
          <w:tcPr>
            <w:tcW w:w="1997" w:type="pct"/>
            <w:gridSpan w:val="2"/>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Fedett átrium</w:t>
            </w:r>
          </w:p>
        </w:tc>
        <w:tc>
          <w:tcPr>
            <w:tcW w:w="666" w:type="pct"/>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3</w:t>
            </w:r>
          </w:p>
        </w:tc>
        <w:tc>
          <w:tcPr>
            <w:tcW w:w="666" w:type="pct"/>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 m</w:t>
            </w:r>
            <w:r w:rsidRPr="00D50E91">
              <w:rPr>
                <w:sz w:val="20"/>
                <w:szCs w:val="20"/>
                <w:vertAlign w:val="superscript"/>
              </w:rPr>
              <w:t>2</w:t>
            </w:r>
          </w:p>
        </w:tc>
        <w:tc>
          <w:tcPr>
            <w:tcW w:w="636" w:type="pct"/>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w:t>
            </w:r>
            <w:r w:rsidR="003528A8">
              <w:rPr>
                <w:sz w:val="20"/>
                <w:szCs w:val="20"/>
              </w:rPr>
              <w:t>-</w:t>
            </w:r>
          </w:p>
        </w:tc>
        <w:tc>
          <w:tcPr>
            <w:tcW w:w="706" w:type="pct"/>
            <w:tcBorders>
              <w:top w:val="single" w:sz="4" w:space="0" w:color="auto"/>
              <w:left w:val="single" w:sz="4" w:space="0" w:color="auto"/>
              <w:bottom w:val="single" w:sz="4" w:space="0" w:color="auto"/>
              <w:right w:val="single" w:sz="4" w:space="0" w:color="auto"/>
            </w:tcBorders>
          </w:tcPr>
          <w:p w:rsidR="005B415B" w:rsidRPr="00D50E91" w:rsidRDefault="003528A8" w:rsidP="00C65880">
            <w:pPr>
              <w:autoSpaceDE w:val="0"/>
              <w:autoSpaceDN w:val="0"/>
              <w:adjustRightInd w:val="0"/>
              <w:ind w:left="56" w:right="56"/>
              <w:jc w:val="center"/>
              <w:rPr>
                <w:sz w:val="20"/>
                <w:szCs w:val="20"/>
              </w:rPr>
            </w:pPr>
            <w:r>
              <w:rPr>
                <w:sz w:val="20"/>
                <w:szCs w:val="20"/>
              </w:rPr>
              <w:t>-</w:t>
            </w:r>
          </w:p>
        </w:tc>
      </w:tr>
      <w:tr w:rsidR="005B415B" w:rsidRPr="00D50E91" w:rsidTr="000F76B5">
        <w:tc>
          <w:tcPr>
            <w:tcW w:w="329" w:type="pct"/>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7</w:t>
            </w:r>
          </w:p>
        </w:tc>
        <w:tc>
          <w:tcPr>
            <w:tcW w:w="996" w:type="pct"/>
            <w:vMerge w:val="restart"/>
            <w:tcBorders>
              <w:top w:val="single" w:sz="4" w:space="0" w:color="auto"/>
              <w:left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w:t>
            </w:r>
            <w:r w:rsidRPr="00D50E91">
              <w:rPr>
                <w:sz w:val="20"/>
                <w:szCs w:val="20"/>
              </w:rPr>
              <w:br/>
              <w:t xml:space="preserve"> 1200 m</w:t>
            </w:r>
            <w:r w:rsidRPr="00D50E91">
              <w:rPr>
                <w:sz w:val="20"/>
                <w:szCs w:val="20"/>
                <w:vertAlign w:val="superscript"/>
              </w:rPr>
              <w:t>2</w:t>
            </w:r>
            <w:r w:rsidR="003528A8">
              <w:rPr>
                <w:sz w:val="20"/>
                <w:szCs w:val="20"/>
              </w:rPr>
              <w:t>-</w:t>
            </w:r>
            <w:r w:rsidRPr="00D50E91">
              <w:rPr>
                <w:sz w:val="20"/>
                <w:szCs w:val="20"/>
              </w:rPr>
              <w:t>nél nagyobb alapterületű helyiség, valamint tömegtartózkodásra szolgáló helyiség</w:t>
            </w:r>
          </w:p>
          <w:p w:rsidR="005B415B" w:rsidRPr="00D50E91" w:rsidRDefault="005B415B" w:rsidP="00C65880">
            <w:pPr>
              <w:autoSpaceDE w:val="0"/>
              <w:autoSpaceDN w:val="0"/>
              <w:adjustRightInd w:val="0"/>
              <w:rPr>
                <w:sz w:val="20"/>
                <w:szCs w:val="20"/>
              </w:rPr>
            </w:pPr>
            <w:r w:rsidRPr="00D50E91">
              <w:rPr>
                <w:sz w:val="20"/>
                <w:szCs w:val="20"/>
              </w:rPr>
              <w:t xml:space="preserve"> </w:t>
            </w:r>
          </w:p>
        </w:tc>
        <w:tc>
          <w:tcPr>
            <w:tcW w:w="1001" w:type="pct"/>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a füstszakasz számított belmagassága legfeljebb 4 m</w:t>
            </w:r>
          </w:p>
        </w:tc>
        <w:tc>
          <w:tcPr>
            <w:tcW w:w="666" w:type="pct"/>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w:t>
            </w:r>
          </w:p>
        </w:tc>
        <w:tc>
          <w:tcPr>
            <w:tcW w:w="666" w:type="pct"/>
            <w:tcBorders>
              <w:top w:val="single" w:sz="4" w:space="0" w:color="auto"/>
              <w:left w:val="single" w:sz="4" w:space="0" w:color="auto"/>
              <w:bottom w:val="single" w:sz="4" w:space="0" w:color="auto"/>
              <w:right w:val="single" w:sz="4" w:space="0" w:color="auto"/>
            </w:tcBorders>
          </w:tcPr>
          <w:p w:rsidR="005B415B" w:rsidRPr="00D50E91" w:rsidRDefault="003528A8" w:rsidP="00C65880">
            <w:pPr>
              <w:autoSpaceDE w:val="0"/>
              <w:autoSpaceDN w:val="0"/>
              <w:adjustRightInd w:val="0"/>
              <w:ind w:left="56" w:right="56"/>
              <w:jc w:val="center"/>
              <w:rPr>
                <w:sz w:val="20"/>
                <w:szCs w:val="20"/>
              </w:rPr>
            </w:pPr>
            <w:r>
              <w:rPr>
                <w:sz w:val="20"/>
                <w:szCs w:val="20"/>
              </w:rPr>
              <w:t>-</w:t>
            </w:r>
          </w:p>
        </w:tc>
        <w:tc>
          <w:tcPr>
            <w:tcW w:w="636" w:type="pct"/>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w:t>
            </w:r>
            <w:r w:rsidR="003528A8">
              <w:rPr>
                <w:sz w:val="20"/>
                <w:szCs w:val="20"/>
              </w:rPr>
              <w:t>-</w:t>
            </w:r>
          </w:p>
        </w:tc>
        <w:tc>
          <w:tcPr>
            <w:tcW w:w="706" w:type="pct"/>
            <w:tcBorders>
              <w:top w:val="single" w:sz="4" w:space="0" w:color="auto"/>
              <w:left w:val="single" w:sz="4" w:space="0" w:color="auto"/>
              <w:bottom w:val="single" w:sz="4" w:space="0" w:color="auto"/>
              <w:right w:val="single" w:sz="4" w:space="0" w:color="auto"/>
            </w:tcBorders>
          </w:tcPr>
          <w:p w:rsidR="005B415B" w:rsidRPr="00D50E91" w:rsidRDefault="003528A8" w:rsidP="00C65880">
            <w:pPr>
              <w:autoSpaceDE w:val="0"/>
              <w:autoSpaceDN w:val="0"/>
              <w:adjustRightInd w:val="0"/>
              <w:ind w:left="56" w:right="56"/>
              <w:jc w:val="center"/>
              <w:rPr>
                <w:sz w:val="20"/>
                <w:szCs w:val="20"/>
              </w:rPr>
            </w:pPr>
            <w:r>
              <w:rPr>
                <w:sz w:val="20"/>
                <w:szCs w:val="20"/>
              </w:rPr>
              <w:t>-</w:t>
            </w:r>
          </w:p>
        </w:tc>
      </w:tr>
      <w:tr w:rsidR="005B415B" w:rsidRPr="00D50E91" w:rsidTr="000F76B5">
        <w:tc>
          <w:tcPr>
            <w:tcW w:w="329" w:type="pct"/>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8</w:t>
            </w:r>
          </w:p>
        </w:tc>
        <w:tc>
          <w:tcPr>
            <w:tcW w:w="996" w:type="pct"/>
            <w:vMerge/>
            <w:tcBorders>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rPr>
                <w:sz w:val="20"/>
                <w:szCs w:val="20"/>
              </w:rPr>
            </w:pPr>
          </w:p>
        </w:tc>
        <w:tc>
          <w:tcPr>
            <w:tcW w:w="1001" w:type="pct"/>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a füstszakasz számított belmagassága meghaladja a 4 m</w:t>
            </w:r>
            <w:r w:rsidR="003528A8">
              <w:rPr>
                <w:sz w:val="20"/>
                <w:szCs w:val="20"/>
              </w:rPr>
              <w:t>-</w:t>
            </w:r>
            <w:r w:rsidRPr="00D50E91">
              <w:rPr>
                <w:sz w:val="20"/>
                <w:szCs w:val="20"/>
              </w:rPr>
              <w:t>t</w:t>
            </w:r>
          </w:p>
        </w:tc>
        <w:tc>
          <w:tcPr>
            <w:tcW w:w="666" w:type="pct"/>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w:t>
            </w:r>
            <w:r w:rsidR="003528A8">
              <w:rPr>
                <w:sz w:val="20"/>
                <w:szCs w:val="20"/>
              </w:rPr>
              <w:t>-</w:t>
            </w:r>
          </w:p>
        </w:tc>
        <w:tc>
          <w:tcPr>
            <w:tcW w:w="666" w:type="pct"/>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w:t>
            </w:r>
            <w:r w:rsidR="003528A8">
              <w:rPr>
                <w:sz w:val="20"/>
                <w:szCs w:val="20"/>
              </w:rPr>
              <w:t>-</w:t>
            </w:r>
          </w:p>
        </w:tc>
        <w:tc>
          <w:tcPr>
            <w:tcW w:w="636" w:type="pct"/>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a számított belmagasság fele, de legalább 3 m</w:t>
            </w:r>
          </w:p>
        </w:tc>
        <w:tc>
          <w:tcPr>
            <w:tcW w:w="706" w:type="pct"/>
            <w:tcBorders>
              <w:top w:val="single" w:sz="4" w:space="0" w:color="auto"/>
              <w:left w:val="single" w:sz="4" w:space="0" w:color="auto"/>
              <w:bottom w:val="single" w:sz="4" w:space="0" w:color="auto"/>
              <w:right w:val="single" w:sz="4" w:space="0" w:color="auto"/>
            </w:tcBorders>
          </w:tcPr>
          <w:p w:rsidR="005B415B" w:rsidRPr="00D50E91" w:rsidRDefault="003528A8" w:rsidP="00C65880">
            <w:pPr>
              <w:autoSpaceDE w:val="0"/>
              <w:autoSpaceDN w:val="0"/>
              <w:adjustRightInd w:val="0"/>
              <w:ind w:left="56" w:right="56"/>
              <w:jc w:val="center"/>
              <w:rPr>
                <w:sz w:val="20"/>
                <w:szCs w:val="20"/>
              </w:rPr>
            </w:pPr>
            <w:r>
              <w:rPr>
                <w:sz w:val="20"/>
                <w:szCs w:val="20"/>
              </w:rPr>
              <w:t>-</w:t>
            </w:r>
          </w:p>
        </w:tc>
      </w:tr>
      <w:tr w:rsidR="005B415B" w:rsidRPr="00D50E91" w:rsidTr="000F76B5">
        <w:tc>
          <w:tcPr>
            <w:tcW w:w="329" w:type="pct"/>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9</w:t>
            </w:r>
          </w:p>
        </w:tc>
        <w:tc>
          <w:tcPr>
            <w:tcW w:w="1997" w:type="pct"/>
            <w:gridSpan w:val="2"/>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Pinceszinti helyiség</w:t>
            </w:r>
          </w:p>
        </w:tc>
        <w:tc>
          <w:tcPr>
            <w:tcW w:w="666" w:type="pct"/>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w:t>
            </w:r>
          </w:p>
        </w:tc>
        <w:tc>
          <w:tcPr>
            <w:tcW w:w="666" w:type="pct"/>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0,3 m</w:t>
            </w:r>
            <w:r w:rsidRPr="00D50E91">
              <w:rPr>
                <w:sz w:val="20"/>
                <w:szCs w:val="20"/>
                <w:vertAlign w:val="superscript"/>
              </w:rPr>
              <w:t>2</w:t>
            </w:r>
          </w:p>
        </w:tc>
        <w:tc>
          <w:tcPr>
            <w:tcW w:w="636" w:type="pct"/>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w:t>
            </w:r>
            <w:r w:rsidR="003528A8">
              <w:rPr>
                <w:sz w:val="20"/>
                <w:szCs w:val="20"/>
              </w:rPr>
              <w:t>-</w:t>
            </w:r>
          </w:p>
        </w:tc>
        <w:tc>
          <w:tcPr>
            <w:tcW w:w="706" w:type="pct"/>
            <w:tcBorders>
              <w:top w:val="single" w:sz="4" w:space="0" w:color="auto"/>
              <w:left w:val="single" w:sz="4" w:space="0" w:color="auto"/>
              <w:bottom w:val="single" w:sz="4" w:space="0" w:color="auto"/>
              <w:right w:val="single" w:sz="4" w:space="0" w:color="auto"/>
            </w:tcBorders>
          </w:tcPr>
          <w:p w:rsidR="005B415B" w:rsidRPr="00D50E91" w:rsidRDefault="003528A8" w:rsidP="00C65880">
            <w:pPr>
              <w:autoSpaceDE w:val="0"/>
              <w:autoSpaceDN w:val="0"/>
              <w:adjustRightInd w:val="0"/>
              <w:ind w:left="56" w:right="56"/>
              <w:jc w:val="center"/>
              <w:rPr>
                <w:sz w:val="20"/>
                <w:szCs w:val="20"/>
              </w:rPr>
            </w:pPr>
            <w:r>
              <w:rPr>
                <w:sz w:val="20"/>
                <w:szCs w:val="20"/>
              </w:rPr>
              <w:t>-</w:t>
            </w:r>
          </w:p>
        </w:tc>
      </w:tr>
    </w:tbl>
    <w:p w:rsidR="005B415B" w:rsidRPr="00D50E91" w:rsidRDefault="005B415B" w:rsidP="00595B18">
      <w:pPr>
        <w:jc w:val="both"/>
      </w:pPr>
    </w:p>
    <w:p w:rsidR="005B415B" w:rsidRPr="00D50E91" w:rsidRDefault="005B415B" w:rsidP="00595B18">
      <w:pPr>
        <w:jc w:val="both"/>
      </w:pPr>
    </w:p>
    <w:p w:rsidR="005B415B" w:rsidRPr="00D50E91" w:rsidRDefault="005B415B" w:rsidP="00443660">
      <w:pPr>
        <w:jc w:val="both"/>
        <w:rPr>
          <w:b/>
          <w:sz w:val="20"/>
          <w:szCs w:val="20"/>
        </w:rPr>
      </w:pPr>
      <w:r w:rsidRPr="00D50E91">
        <w:rPr>
          <w:b/>
          <w:sz w:val="20"/>
          <w:szCs w:val="20"/>
        </w:rPr>
        <w:t>2. táblázat, a Hő</w:t>
      </w:r>
      <w:r w:rsidR="003528A8">
        <w:rPr>
          <w:b/>
          <w:sz w:val="20"/>
          <w:szCs w:val="20"/>
        </w:rPr>
        <w:t>-</w:t>
      </w:r>
      <w:r w:rsidRPr="00D50E91">
        <w:rPr>
          <w:b/>
          <w:sz w:val="20"/>
          <w:szCs w:val="20"/>
        </w:rPr>
        <w:t xml:space="preserve"> és füstelvezetés alcímhez</w:t>
      </w:r>
    </w:p>
    <w:p w:rsidR="005B415B" w:rsidRPr="00D50E91" w:rsidRDefault="005B415B" w:rsidP="00595B18">
      <w:pPr>
        <w:jc w:val="both"/>
      </w:pPr>
    </w:p>
    <w:tbl>
      <w:tblPr>
        <w:tblW w:w="9922" w:type="dxa"/>
        <w:tblInd w:w="5" w:type="dxa"/>
        <w:tblLayout w:type="fixed"/>
        <w:tblCellMar>
          <w:left w:w="0" w:type="dxa"/>
          <w:right w:w="0" w:type="dxa"/>
        </w:tblCellMar>
        <w:tblLook w:val="0000" w:firstRow="0" w:lastRow="0" w:firstColumn="0" w:lastColumn="0" w:noHBand="0" w:noVBand="0"/>
      </w:tblPr>
      <w:tblGrid>
        <w:gridCol w:w="563"/>
        <w:gridCol w:w="1644"/>
        <w:gridCol w:w="1195"/>
        <w:gridCol w:w="1843"/>
        <w:gridCol w:w="1701"/>
        <w:gridCol w:w="1559"/>
        <w:gridCol w:w="1417"/>
      </w:tblGrid>
      <w:tr w:rsidR="005B415B" w:rsidRPr="00D50E91" w:rsidTr="00C65880">
        <w:tc>
          <w:tcPr>
            <w:tcW w:w="563"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rPr>
                <w:sz w:val="20"/>
                <w:szCs w:val="20"/>
              </w:rPr>
            </w:pPr>
          </w:p>
        </w:tc>
        <w:tc>
          <w:tcPr>
            <w:tcW w:w="1644"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A</w:t>
            </w:r>
          </w:p>
        </w:tc>
        <w:tc>
          <w:tcPr>
            <w:tcW w:w="1195"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B</w:t>
            </w:r>
          </w:p>
        </w:tc>
        <w:tc>
          <w:tcPr>
            <w:tcW w:w="1843"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C</w:t>
            </w:r>
          </w:p>
        </w:tc>
        <w:tc>
          <w:tcPr>
            <w:tcW w:w="1701"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D</w:t>
            </w:r>
          </w:p>
        </w:tc>
        <w:tc>
          <w:tcPr>
            <w:tcW w:w="1559"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G</w:t>
            </w:r>
          </w:p>
        </w:tc>
        <w:tc>
          <w:tcPr>
            <w:tcW w:w="1417"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H</w:t>
            </w:r>
          </w:p>
        </w:tc>
      </w:tr>
      <w:tr w:rsidR="005B415B" w:rsidRPr="00D50E91" w:rsidTr="00C65880">
        <w:tc>
          <w:tcPr>
            <w:tcW w:w="563"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w:t>
            </w:r>
          </w:p>
        </w:tc>
        <w:tc>
          <w:tcPr>
            <w:tcW w:w="1644" w:type="dxa"/>
            <w:tcBorders>
              <w:top w:val="single" w:sz="4" w:space="0" w:color="auto"/>
              <w:left w:val="single" w:sz="4" w:space="0" w:color="auto"/>
              <w:bottom w:val="nil"/>
              <w:right w:val="single" w:sz="4" w:space="0" w:color="auto"/>
            </w:tcBorders>
          </w:tcPr>
          <w:p w:rsidR="005B415B" w:rsidRPr="00D50E91" w:rsidRDefault="005B415B" w:rsidP="00BE6F3F">
            <w:pPr>
              <w:autoSpaceDE w:val="0"/>
              <w:autoSpaceDN w:val="0"/>
              <w:adjustRightInd w:val="0"/>
              <w:ind w:left="56" w:right="56"/>
              <w:jc w:val="center"/>
              <w:rPr>
                <w:b/>
                <w:sz w:val="20"/>
                <w:szCs w:val="20"/>
              </w:rPr>
            </w:pPr>
            <w:r w:rsidRPr="00D50E91">
              <w:rPr>
                <w:b/>
                <w:sz w:val="20"/>
                <w:szCs w:val="20"/>
              </w:rPr>
              <w:t xml:space="preserve"> </w:t>
            </w:r>
            <w:r w:rsidR="00BE6F3F" w:rsidRPr="00D50E91">
              <w:rPr>
                <w:b/>
                <w:sz w:val="20"/>
                <w:szCs w:val="20"/>
              </w:rPr>
              <w:t>F</w:t>
            </w:r>
            <w:r w:rsidRPr="00D50E91">
              <w:rPr>
                <w:b/>
                <w:sz w:val="20"/>
                <w:szCs w:val="20"/>
              </w:rPr>
              <w:t xml:space="preserve">üstelvezetéssel </w:t>
            </w:r>
          </w:p>
        </w:tc>
        <w:tc>
          <w:tcPr>
            <w:tcW w:w="1195" w:type="dxa"/>
            <w:tcBorders>
              <w:top w:val="single" w:sz="4" w:space="0" w:color="auto"/>
              <w:left w:val="single" w:sz="4" w:space="0" w:color="auto"/>
              <w:bottom w:val="nil"/>
              <w:right w:val="single" w:sz="4" w:space="0" w:color="auto"/>
            </w:tcBorders>
          </w:tcPr>
          <w:p w:rsidR="005B415B" w:rsidRPr="00D50E91" w:rsidRDefault="005B415B" w:rsidP="00C65880">
            <w:pPr>
              <w:autoSpaceDE w:val="0"/>
              <w:autoSpaceDN w:val="0"/>
              <w:adjustRightInd w:val="0"/>
              <w:ind w:left="56" w:right="56"/>
              <w:jc w:val="center"/>
              <w:rPr>
                <w:b/>
                <w:sz w:val="20"/>
                <w:szCs w:val="20"/>
              </w:rPr>
            </w:pPr>
            <w:r w:rsidRPr="00D50E91">
              <w:rPr>
                <w:b/>
                <w:sz w:val="20"/>
                <w:szCs w:val="20"/>
              </w:rPr>
              <w:t xml:space="preserve"> </w:t>
            </w:r>
            <w:r w:rsidR="00BE6F3F" w:rsidRPr="00D50E91">
              <w:rPr>
                <w:b/>
                <w:sz w:val="20"/>
                <w:szCs w:val="20"/>
              </w:rPr>
              <w:t>F</w:t>
            </w:r>
            <w:r w:rsidRPr="00D50E91">
              <w:rPr>
                <w:b/>
                <w:sz w:val="20"/>
                <w:szCs w:val="20"/>
              </w:rPr>
              <w:t>üstelvezető</w:t>
            </w:r>
          </w:p>
        </w:tc>
        <w:tc>
          <w:tcPr>
            <w:tcW w:w="3544" w:type="dxa"/>
            <w:gridSpan w:val="2"/>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b/>
                <w:sz w:val="20"/>
                <w:szCs w:val="20"/>
              </w:rPr>
            </w:pPr>
            <w:r w:rsidRPr="00D50E91">
              <w:rPr>
                <w:b/>
                <w:sz w:val="20"/>
                <w:szCs w:val="20"/>
              </w:rPr>
              <w:t xml:space="preserve"> Füstelvezető, valamint légpótló légcsatorna</w:t>
            </w:r>
          </w:p>
        </w:tc>
        <w:tc>
          <w:tcPr>
            <w:tcW w:w="2976" w:type="dxa"/>
            <w:gridSpan w:val="2"/>
            <w:tcBorders>
              <w:top w:val="single" w:sz="4" w:space="0" w:color="auto"/>
              <w:left w:val="single" w:sz="4" w:space="0" w:color="auto"/>
              <w:bottom w:val="single" w:sz="4" w:space="0" w:color="auto"/>
              <w:right w:val="single" w:sz="4" w:space="0" w:color="auto"/>
            </w:tcBorders>
          </w:tcPr>
          <w:p w:rsidR="005B415B" w:rsidRPr="00D50E91" w:rsidRDefault="00BE6F3F" w:rsidP="00C65880">
            <w:pPr>
              <w:autoSpaceDE w:val="0"/>
              <w:autoSpaceDN w:val="0"/>
              <w:adjustRightInd w:val="0"/>
              <w:ind w:left="56" w:right="56"/>
              <w:jc w:val="center"/>
              <w:rPr>
                <w:b/>
                <w:sz w:val="20"/>
                <w:szCs w:val="20"/>
              </w:rPr>
            </w:pPr>
            <w:r w:rsidRPr="00D50E91">
              <w:rPr>
                <w:b/>
                <w:sz w:val="20"/>
                <w:szCs w:val="20"/>
              </w:rPr>
              <w:t>F</w:t>
            </w:r>
            <w:r w:rsidR="005B415B" w:rsidRPr="00D50E91">
              <w:rPr>
                <w:b/>
                <w:sz w:val="20"/>
                <w:szCs w:val="20"/>
              </w:rPr>
              <w:t>üstcsappantyú</w:t>
            </w:r>
          </w:p>
        </w:tc>
      </w:tr>
      <w:tr w:rsidR="005B415B" w:rsidRPr="00D50E91" w:rsidTr="00C65880">
        <w:tc>
          <w:tcPr>
            <w:tcW w:w="563"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2</w:t>
            </w:r>
          </w:p>
        </w:tc>
        <w:tc>
          <w:tcPr>
            <w:tcW w:w="1644" w:type="dxa"/>
            <w:tcBorders>
              <w:top w:val="nil"/>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b/>
                <w:sz w:val="20"/>
                <w:szCs w:val="20"/>
              </w:rPr>
            </w:pPr>
            <w:r w:rsidRPr="00D50E91">
              <w:rPr>
                <w:b/>
                <w:sz w:val="20"/>
                <w:szCs w:val="20"/>
              </w:rPr>
              <w:t xml:space="preserve"> érintett helyiség</w:t>
            </w:r>
          </w:p>
        </w:tc>
        <w:tc>
          <w:tcPr>
            <w:tcW w:w="1195" w:type="dxa"/>
            <w:tcBorders>
              <w:top w:val="nil"/>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b/>
                <w:sz w:val="20"/>
                <w:szCs w:val="20"/>
              </w:rPr>
            </w:pPr>
            <w:r w:rsidRPr="00D50E91">
              <w:rPr>
                <w:b/>
                <w:sz w:val="20"/>
                <w:szCs w:val="20"/>
              </w:rPr>
              <w:t xml:space="preserve"> ventilátor</w:t>
            </w:r>
          </w:p>
        </w:tc>
        <w:tc>
          <w:tcPr>
            <w:tcW w:w="1843"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b/>
                <w:sz w:val="20"/>
                <w:szCs w:val="20"/>
              </w:rPr>
            </w:pPr>
            <w:r w:rsidRPr="00D50E91">
              <w:rPr>
                <w:b/>
                <w:sz w:val="20"/>
                <w:szCs w:val="20"/>
              </w:rPr>
              <w:t xml:space="preserve"> érintett helyiséggel azonos tűzszakaszban</w:t>
            </w:r>
          </w:p>
        </w:tc>
        <w:tc>
          <w:tcPr>
            <w:tcW w:w="1701"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b/>
                <w:sz w:val="20"/>
                <w:szCs w:val="20"/>
              </w:rPr>
            </w:pPr>
            <w:r w:rsidRPr="00D50E91">
              <w:rPr>
                <w:b/>
                <w:sz w:val="20"/>
                <w:szCs w:val="20"/>
              </w:rPr>
              <w:t xml:space="preserve"> az érintett helyiség tűzszakaszától eltérő tűzszakaszban</w:t>
            </w:r>
          </w:p>
        </w:tc>
        <w:tc>
          <w:tcPr>
            <w:tcW w:w="1559"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b/>
                <w:sz w:val="20"/>
                <w:szCs w:val="20"/>
              </w:rPr>
            </w:pPr>
            <w:r w:rsidRPr="00D50E91">
              <w:rPr>
                <w:b/>
                <w:sz w:val="20"/>
                <w:szCs w:val="20"/>
              </w:rPr>
              <w:t>egy tűzszakaszon belül</w:t>
            </w:r>
          </w:p>
        </w:tc>
        <w:tc>
          <w:tcPr>
            <w:tcW w:w="1417"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b/>
                <w:sz w:val="20"/>
                <w:szCs w:val="20"/>
              </w:rPr>
            </w:pPr>
            <w:r w:rsidRPr="00D50E91">
              <w:rPr>
                <w:b/>
                <w:sz w:val="20"/>
                <w:szCs w:val="20"/>
              </w:rPr>
              <w:t>tűzszakaszok között</w:t>
            </w:r>
          </w:p>
        </w:tc>
      </w:tr>
      <w:tr w:rsidR="005B415B" w:rsidRPr="00D50E91" w:rsidTr="00C65880">
        <w:trPr>
          <w:trHeight w:val="2528"/>
        </w:trPr>
        <w:tc>
          <w:tcPr>
            <w:tcW w:w="563"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lastRenderedPageBreak/>
              <w:t xml:space="preserve"> 3</w:t>
            </w:r>
          </w:p>
        </w:tc>
        <w:tc>
          <w:tcPr>
            <w:tcW w:w="1644" w:type="dxa"/>
            <w:tcBorders>
              <w:top w:val="single" w:sz="4" w:space="0" w:color="auto"/>
              <w:left w:val="single" w:sz="4" w:space="0" w:color="auto"/>
              <w:bottom w:val="single" w:sz="4" w:space="0" w:color="auto"/>
              <w:right w:val="single" w:sz="4" w:space="0" w:color="auto"/>
            </w:tcBorders>
          </w:tcPr>
          <w:p w:rsidR="005B415B" w:rsidRPr="00D50E91" w:rsidRDefault="005B415B" w:rsidP="00BE6F3F">
            <w:pPr>
              <w:autoSpaceDE w:val="0"/>
              <w:autoSpaceDN w:val="0"/>
              <w:adjustRightInd w:val="0"/>
              <w:ind w:left="56" w:right="56"/>
              <w:jc w:val="center"/>
              <w:rPr>
                <w:sz w:val="20"/>
                <w:szCs w:val="20"/>
              </w:rPr>
            </w:pPr>
            <w:r w:rsidRPr="00D50E91">
              <w:rPr>
                <w:sz w:val="20"/>
                <w:szCs w:val="20"/>
              </w:rPr>
              <w:t xml:space="preserve"> </w:t>
            </w:r>
            <w:r w:rsidR="00BE6F3F" w:rsidRPr="00D50E91">
              <w:rPr>
                <w:sz w:val="20"/>
                <w:szCs w:val="20"/>
              </w:rPr>
              <w:t>H</w:t>
            </w:r>
            <w:r w:rsidRPr="00D50E91">
              <w:rPr>
                <w:sz w:val="20"/>
                <w:szCs w:val="20"/>
              </w:rPr>
              <w:t>a az érintett helyiséget befogadó tűzszakasz teljes területét beépített vízzel oltó berendezés védi</w:t>
            </w:r>
          </w:p>
        </w:tc>
        <w:tc>
          <w:tcPr>
            <w:tcW w:w="1195"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F300 60</w:t>
            </w:r>
          </w:p>
        </w:tc>
        <w:tc>
          <w:tcPr>
            <w:tcW w:w="1843"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E</w:t>
            </w:r>
            <w:r w:rsidRPr="00D50E91">
              <w:rPr>
                <w:sz w:val="20"/>
                <w:szCs w:val="20"/>
                <w:vertAlign w:val="subscript"/>
              </w:rPr>
              <w:t>300</w:t>
            </w:r>
            <w:r w:rsidRPr="00D50E91">
              <w:rPr>
                <w:sz w:val="20"/>
                <w:szCs w:val="20"/>
              </w:rPr>
              <w:t xml:space="preserve"> x S single, ahol</w:t>
            </w:r>
            <w:r w:rsidRPr="00D50E91">
              <w:rPr>
                <w:sz w:val="20"/>
                <w:szCs w:val="20"/>
              </w:rPr>
              <w:br/>
              <w:t>x legalább</w:t>
            </w:r>
            <w:r w:rsidRPr="00D50E91">
              <w:rPr>
                <w:sz w:val="20"/>
                <w:szCs w:val="20"/>
              </w:rPr>
              <w:br/>
              <w:t>megegyezik az emeletközi födémre a beépítési helyen előírt időtartam</w:t>
            </w:r>
            <w:r w:rsidR="003528A8">
              <w:rPr>
                <w:sz w:val="20"/>
                <w:szCs w:val="20"/>
              </w:rPr>
              <w:t>-</w:t>
            </w:r>
            <w:r w:rsidRPr="00D50E91">
              <w:rPr>
                <w:sz w:val="20"/>
                <w:szCs w:val="20"/>
              </w:rPr>
              <w:t xml:space="preserve"> követelménnyel</w:t>
            </w:r>
          </w:p>
          <w:p w:rsidR="005B415B" w:rsidRPr="00D50E91" w:rsidRDefault="005B415B" w:rsidP="00C65880">
            <w:pPr>
              <w:autoSpaceDE w:val="0"/>
              <w:autoSpaceDN w:val="0"/>
              <w:adjustRightInd w:val="0"/>
              <w:ind w:left="56" w:right="56"/>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jc w:val="center"/>
              <w:rPr>
                <w:strike/>
                <w:sz w:val="20"/>
                <w:szCs w:val="20"/>
              </w:rPr>
            </w:pPr>
            <w:r w:rsidRPr="00D50E91">
              <w:rPr>
                <w:sz w:val="20"/>
                <w:szCs w:val="20"/>
              </w:rPr>
              <w:t>EI x S multi, ahol</w:t>
            </w:r>
            <w:r w:rsidRPr="00D50E91">
              <w:rPr>
                <w:strike/>
                <w:sz w:val="20"/>
                <w:szCs w:val="20"/>
              </w:rPr>
              <w:br/>
            </w:r>
            <w:r w:rsidRPr="00D50E91">
              <w:rPr>
                <w:sz w:val="20"/>
                <w:szCs w:val="20"/>
              </w:rPr>
              <w:t>x megegyezik a tűzgátló szerkezetekre a beépítési helyen előírt időtartam</w:t>
            </w:r>
            <w:r w:rsidR="003528A8">
              <w:rPr>
                <w:sz w:val="20"/>
                <w:szCs w:val="20"/>
              </w:rPr>
              <w:t>-</w:t>
            </w:r>
            <w:r w:rsidRPr="00D50E91">
              <w:rPr>
                <w:sz w:val="20"/>
                <w:szCs w:val="20"/>
              </w:rPr>
              <w:t xml:space="preserve"> követelménnyel</w:t>
            </w:r>
          </w:p>
        </w:tc>
        <w:tc>
          <w:tcPr>
            <w:tcW w:w="1559"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E</w:t>
            </w:r>
            <w:r w:rsidRPr="00D50E91">
              <w:rPr>
                <w:sz w:val="20"/>
                <w:szCs w:val="20"/>
                <w:vertAlign w:val="subscript"/>
              </w:rPr>
              <w:t>300</w:t>
            </w:r>
            <w:r w:rsidRPr="00D50E91">
              <w:rPr>
                <w:sz w:val="20"/>
                <w:szCs w:val="20"/>
              </w:rPr>
              <w:t xml:space="preserve"> x S single ahol</w:t>
            </w:r>
            <w:r w:rsidRPr="00D50E91">
              <w:rPr>
                <w:sz w:val="20"/>
                <w:szCs w:val="20"/>
              </w:rPr>
              <w:br/>
              <w:t>x legalább</w:t>
            </w:r>
            <w:r w:rsidRPr="00D50E91">
              <w:rPr>
                <w:sz w:val="20"/>
                <w:szCs w:val="20"/>
              </w:rPr>
              <w:br/>
              <w:t>megegyezik az emeletközi födémre a beépítési helyen előírt időtartam</w:t>
            </w:r>
            <w:r w:rsidR="003528A8">
              <w:rPr>
                <w:sz w:val="20"/>
                <w:szCs w:val="20"/>
              </w:rPr>
              <w:t>-</w:t>
            </w:r>
            <w:r w:rsidRPr="00D50E91">
              <w:rPr>
                <w:sz w:val="20"/>
                <w:szCs w:val="20"/>
              </w:rPr>
              <w:t xml:space="preserve"> követelménnyel</w:t>
            </w:r>
          </w:p>
        </w:tc>
        <w:tc>
          <w:tcPr>
            <w:tcW w:w="1417"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EI x S multi, ahol</w:t>
            </w:r>
            <w:r w:rsidRPr="00D50E91">
              <w:rPr>
                <w:sz w:val="20"/>
                <w:szCs w:val="20"/>
              </w:rPr>
              <w:br/>
              <w:t>x legalább megegyezik a tűzgátló szerkezetekre a beépítési helyen előírt időtartam</w:t>
            </w:r>
            <w:r w:rsidR="003528A8">
              <w:rPr>
                <w:sz w:val="20"/>
                <w:szCs w:val="20"/>
              </w:rPr>
              <w:t>-</w:t>
            </w:r>
            <w:r w:rsidRPr="00D50E91">
              <w:rPr>
                <w:sz w:val="20"/>
                <w:szCs w:val="20"/>
              </w:rPr>
              <w:t xml:space="preserve"> követelménnyel</w:t>
            </w:r>
          </w:p>
        </w:tc>
      </w:tr>
      <w:tr w:rsidR="005B415B" w:rsidRPr="00D50E91" w:rsidTr="00C65880">
        <w:tc>
          <w:tcPr>
            <w:tcW w:w="563"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4</w:t>
            </w:r>
          </w:p>
        </w:tc>
        <w:tc>
          <w:tcPr>
            <w:tcW w:w="1644" w:type="dxa"/>
            <w:tcBorders>
              <w:top w:val="single" w:sz="4" w:space="0" w:color="auto"/>
              <w:left w:val="single" w:sz="4" w:space="0" w:color="auto"/>
              <w:bottom w:val="single" w:sz="4" w:space="0" w:color="auto"/>
              <w:right w:val="single" w:sz="4" w:space="0" w:color="auto"/>
            </w:tcBorders>
          </w:tcPr>
          <w:p w:rsidR="005B415B" w:rsidRPr="00D50E91" w:rsidRDefault="00BE6F3F" w:rsidP="00C65880">
            <w:pPr>
              <w:autoSpaceDE w:val="0"/>
              <w:autoSpaceDN w:val="0"/>
              <w:adjustRightInd w:val="0"/>
              <w:ind w:left="56" w:right="56"/>
              <w:jc w:val="center"/>
              <w:rPr>
                <w:sz w:val="20"/>
                <w:szCs w:val="20"/>
              </w:rPr>
            </w:pPr>
            <w:r w:rsidRPr="00D50E91">
              <w:rPr>
                <w:sz w:val="20"/>
                <w:szCs w:val="20"/>
              </w:rPr>
              <w:t xml:space="preserve"> E</w:t>
            </w:r>
            <w:r w:rsidR="005B415B" w:rsidRPr="00D50E91">
              <w:rPr>
                <w:sz w:val="20"/>
                <w:szCs w:val="20"/>
              </w:rPr>
              <w:t>gyéb esetben</w:t>
            </w:r>
          </w:p>
        </w:tc>
        <w:tc>
          <w:tcPr>
            <w:tcW w:w="1195"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F400 120</w:t>
            </w:r>
          </w:p>
        </w:tc>
        <w:tc>
          <w:tcPr>
            <w:tcW w:w="1843"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E</w:t>
            </w:r>
            <w:r w:rsidRPr="00D50E91">
              <w:rPr>
                <w:sz w:val="20"/>
                <w:szCs w:val="20"/>
                <w:vertAlign w:val="subscript"/>
              </w:rPr>
              <w:t>600</w:t>
            </w:r>
            <w:r w:rsidRPr="00D50E91">
              <w:rPr>
                <w:sz w:val="20"/>
                <w:szCs w:val="20"/>
              </w:rPr>
              <w:t xml:space="preserve"> x S single, ahol</w:t>
            </w:r>
            <w:r w:rsidRPr="00D50E91">
              <w:rPr>
                <w:sz w:val="20"/>
                <w:szCs w:val="20"/>
              </w:rPr>
              <w:br/>
              <w:t>x legalább</w:t>
            </w:r>
            <w:r w:rsidRPr="00D50E91">
              <w:rPr>
                <w:sz w:val="20"/>
                <w:szCs w:val="20"/>
              </w:rPr>
              <w:br/>
              <w:t>megegyezik az emeletközi födémre a beépítési helyen előírt időtartam</w:t>
            </w:r>
            <w:r w:rsidR="003528A8">
              <w:rPr>
                <w:sz w:val="20"/>
                <w:szCs w:val="20"/>
              </w:rPr>
              <w:t>-</w:t>
            </w:r>
            <w:r w:rsidRPr="00D50E91">
              <w:rPr>
                <w:sz w:val="20"/>
                <w:szCs w:val="20"/>
              </w:rPr>
              <w:br/>
              <w:t>követelménnyel</w:t>
            </w:r>
          </w:p>
          <w:p w:rsidR="005B415B" w:rsidRPr="00D50E91" w:rsidRDefault="005B415B" w:rsidP="00C65880">
            <w:pPr>
              <w:autoSpaceDE w:val="0"/>
              <w:autoSpaceDN w:val="0"/>
              <w:adjustRightInd w:val="0"/>
              <w:ind w:left="56" w:right="56"/>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jc w:val="center"/>
              <w:rPr>
                <w:sz w:val="20"/>
                <w:szCs w:val="20"/>
              </w:rPr>
            </w:pPr>
            <w:r w:rsidRPr="00D50E91">
              <w:rPr>
                <w:sz w:val="20"/>
                <w:szCs w:val="20"/>
              </w:rPr>
              <w:t>EI x S multi, ahol</w:t>
            </w:r>
            <w:r w:rsidRPr="00D50E91">
              <w:rPr>
                <w:strike/>
                <w:sz w:val="20"/>
                <w:szCs w:val="20"/>
              </w:rPr>
              <w:br/>
            </w:r>
            <w:r w:rsidRPr="00D50E91">
              <w:rPr>
                <w:sz w:val="20"/>
                <w:szCs w:val="20"/>
              </w:rPr>
              <w:t>x legalább megegyezik a tűzgátló szerkezetekre a beépítési helyen előírt időtartam</w:t>
            </w:r>
            <w:r w:rsidR="003528A8">
              <w:rPr>
                <w:sz w:val="20"/>
                <w:szCs w:val="20"/>
              </w:rPr>
              <w:t>-</w:t>
            </w:r>
            <w:r w:rsidRPr="00D50E91">
              <w:rPr>
                <w:sz w:val="20"/>
                <w:szCs w:val="20"/>
              </w:rPr>
              <w:t xml:space="preserve"> követelménnyel</w:t>
            </w:r>
          </w:p>
        </w:tc>
        <w:tc>
          <w:tcPr>
            <w:tcW w:w="1559"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jc w:val="center"/>
              <w:rPr>
                <w:sz w:val="20"/>
                <w:szCs w:val="20"/>
              </w:rPr>
            </w:pPr>
            <w:r w:rsidRPr="00D50E91">
              <w:rPr>
                <w:sz w:val="20"/>
                <w:szCs w:val="20"/>
              </w:rPr>
              <w:t>E</w:t>
            </w:r>
            <w:r w:rsidRPr="00D50E91">
              <w:rPr>
                <w:sz w:val="20"/>
                <w:szCs w:val="20"/>
                <w:vertAlign w:val="subscript"/>
              </w:rPr>
              <w:t>600</w:t>
            </w:r>
            <w:r w:rsidRPr="00D50E91">
              <w:rPr>
                <w:sz w:val="20"/>
                <w:szCs w:val="20"/>
              </w:rPr>
              <w:t xml:space="preserve"> x S single ahol</w:t>
            </w:r>
            <w:r w:rsidRPr="00D50E91">
              <w:rPr>
                <w:sz w:val="20"/>
                <w:szCs w:val="20"/>
              </w:rPr>
              <w:br/>
              <w:t>x legalább</w:t>
            </w:r>
            <w:r w:rsidRPr="00D50E91">
              <w:rPr>
                <w:sz w:val="20"/>
                <w:szCs w:val="20"/>
              </w:rPr>
              <w:br/>
              <w:t>megegyezik az emeletközi födémre a beépítési helyen előírt időtartam</w:t>
            </w:r>
            <w:r w:rsidR="003528A8">
              <w:rPr>
                <w:sz w:val="20"/>
                <w:szCs w:val="20"/>
              </w:rPr>
              <w:t>-</w:t>
            </w:r>
            <w:r w:rsidRPr="00D50E91">
              <w:rPr>
                <w:sz w:val="20"/>
                <w:szCs w:val="20"/>
              </w:rPr>
              <w:t xml:space="preserve"> követelménnyel</w:t>
            </w:r>
          </w:p>
        </w:tc>
        <w:tc>
          <w:tcPr>
            <w:tcW w:w="1417"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jc w:val="center"/>
              <w:rPr>
                <w:sz w:val="20"/>
                <w:szCs w:val="20"/>
              </w:rPr>
            </w:pPr>
            <w:r w:rsidRPr="00D50E91">
              <w:rPr>
                <w:sz w:val="20"/>
                <w:szCs w:val="20"/>
              </w:rPr>
              <w:t>EI x S multi, ahol</w:t>
            </w:r>
            <w:r w:rsidRPr="00D50E91">
              <w:rPr>
                <w:sz w:val="20"/>
                <w:szCs w:val="20"/>
              </w:rPr>
              <w:br/>
              <w:t>x legalább megegyezik a tűzgátló szerkezetekre a beépítési helyen előírt időtartam</w:t>
            </w:r>
            <w:r w:rsidR="003528A8">
              <w:rPr>
                <w:sz w:val="20"/>
                <w:szCs w:val="20"/>
              </w:rPr>
              <w:t>-</w:t>
            </w:r>
            <w:r w:rsidRPr="00D50E91">
              <w:rPr>
                <w:sz w:val="20"/>
                <w:szCs w:val="20"/>
              </w:rPr>
              <w:t xml:space="preserve"> követelménnyel</w:t>
            </w:r>
          </w:p>
        </w:tc>
      </w:tr>
    </w:tbl>
    <w:p w:rsidR="005B415B" w:rsidRPr="00D50E91" w:rsidRDefault="005B415B" w:rsidP="00595B18">
      <w:pPr>
        <w:jc w:val="both"/>
      </w:pPr>
    </w:p>
    <w:p w:rsidR="005B415B" w:rsidRPr="00D50E91" w:rsidRDefault="005B415B">
      <w:pPr>
        <w:spacing w:after="200" w:line="276" w:lineRule="auto"/>
      </w:pPr>
      <w:r w:rsidRPr="00D50E91">
        <w:br w:type="page"/>
      </w:r>
    </w:p>
    <w:p w:rsidR="005B415B" w:rsidRPr="00D50E91" w:rsidRDefault="005B415B" w:rsidP="00443660">
      <w:pPr>
        <w:autoSpaceDE w:val="0"/>
        <w:autoSpaceDN w:val="0"/>
        <w:adjustRightInd w:val="0"/>
        <w:jc w:val="right"/>
        <w:rPr>
          <w:i/>
        </w:rPr>
      </w:pPr>
      <w:r w:rsidRPr="00D50E91">
        <w:rPr>
          <w:i/>
        </w:rPr>
        <w:lastRenderedPageBreak/>
        <w:t>8. melléklet a …./2018. (……) BM rendelethez</w:t>
      </w:r>
    </w:p>
    <w:p w:rsidR="005B415B" w:rsidRPr="00D50E91" w:rsidRDefault="005B415B" w:rsidP="00443660">
      <w:pPr>
        <w:jc w:val="both"/>
      </w:pPr>
    </w:p>
    <w:p w:rsidR="005B415B" w:rsidRPr="00D50E91" w:rsidRDefault="005B415B" w:rsidP="00443660">
      <w:pPr>
        <w:pStyle w:val="Szvegtrzs"/>
        <w:rPr>
          <w:i/>
        </w:rPr>
      </w:pPr>
      <w:r w:rsidRPr="00D50E91">
        <w:rPr>
          <w:i/>
        </w:rPr>
        <w:t>12. melléklet az 54/2014. (XII. 5.) BM rendelethez</w:t>
      </w:r>
    </w:p>
    <w:p w:rsidR="005B415B" w:rsidRPr="00D50E91" w:rsidRDefault="005B415B" w:rsidP="00443660">
      <w:pPr>
        <w:jc w:val="both"/>
      </w:pPr>
    </w:p>
    <w:p w:rsidR="005B415B" w:rsidRPr="00D50E91" w:rsidRDefault="005B415B" w:rsidP="00443660">
      <w:pPr>
        <w:jc w:val="both"/>
        <w:rPr>
          <w:b/>
          <w:sz w:val="20"/>
          <w:szCs w:val="20"/>
        </w:rPr>
      </w:pPr>
      <w:r w:rsidRPr="00D50E91">
        <w:rPr>
          <w:b/>
          <w:sz w:val="20"/>
          <w:szCs w:val="20"/>
        </w:rPr>
        <w:t>1. táblázat, a Villámvédelem alcímhez</w:t>
      </w:r>
    </w:p>
    <w:p w:rsidR="005B415B" w:rsidRPr="00D50E91" w:rsidRDefault="005B415B" w:rsidP="00595B18">
      <w:pPr>
        <w:jc w:val="both"/>
      </w:pPr>
    </w:p>
    <w:tbl>
      <w:tblPr>
        <w:tblW w:w="5107" w:type="pct"/>
        <w:tblInd w:w="-98" w:type="dxa"/>
        <w:tblLayout w:type="fixed"/>
        <w:tblCellMar>
          <w:left w:w="0" w:type="dxa"/>
          <w:right w:w="0" w:type="dxa"/>
        </w:tblCellMar>
        <w:tblLook w:val="0000" w:firstRow="0" w:lastRow="0" w:firstColumn="0" w:lastColumn="0" w:noHBand="0" w:noVBand="0"/>
      </w:tblPr>
      <w:tblGrid>
        <w:gridCol w:w="1053"/>
        <w:gridCol w:w="8182"/>
        <w:gridCol w:w="3507"/>
        <w:gridCol w:w="2337"/>
      </w:tblGrid>
      <w:tr w:rsidR="005B415B" w:rsidRPr="00D50E91" w:rsidTr="00B11587">
        <w:tc>
          <w:tcPr>
            <w:tcW w:w="349" w:type="pct"/>
            <w:tcBorders>
              <w:top w:val="single" w:sz="8" w:space="0" w:color="000000"/>
              <w:left w:val="single" w:sz="8" w:space="0" w:color="000000"/>
              <w:bottom w:val="single" w:sz="8" w:space="0" w:color="000000"/>
              <w:right w:val="single" w:sz="8" w:space="0" w:color="000000"/>
            </w:tcBorders>
          </w:tcPr>
          <w:p w:rsidR="005B415B" w:rsidRPr="00D50E91" w:rsidRDefault="005B415B" w:rsidP="00B11587">
            <w:pPr>
              <w:ind w:left="360"/>
              <w:rPr>
                <w:bCs/>
                <w:sz w:val="20"/>
                <w:szCs w:val="20"/>
              </w:rPr>
            </w:pPr>
          </w:p>
        </w:tc>
        <w:tc>
          <w:tcPr>
            <w:tcW w:w="271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5B415B" w:rsidRPr="00D50E91" w:rsidRDefault="002C2AC5" w:rsidP="00B11587">
            <w:pPr>
              <w:jc w:val="center"/>
              <w:rPr>
                <w:bCs/>
                <w:sz w:val="20"/>
                <w:szCs w:val="20"/>
              </w:rPr>
            </w:pPr>
            <w:r w:rsidRPr="00D50E91">
              <w:rPr>
                <w:bCs/>
                <w:sz w:val="20"/>
                <w:szCs w:val="20"/>
              </w:rPr>
              <w:t xml:space="preserve"> </w:t>
            </w:r>
            <w:r w:rsidR="005B415B" w:rsidRPr="00D50E91">
              <w:rPr>
                <w:bCs/>
                <w:sz w:val="20"/>
                <w:szCs w:val="20"/>
              </w:rPr>
              <w:t>A</w:t>
            </w:r>
          </w:p>
        </w:tc>
        <w:tc>
          <w:tcPr>
            <w:tcW w:w="116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5B415B" w:rsidRPr="00D50E91" w:rsidRDefault="002C2AC5" w:rsidP="00B11587">
            <w:pPr>
              <w:ind w:left="360" w:hanging="360"/>
              <w:jc w:val="center"/>
              <w:rPr>
                <w:bCs/>
                <w:sz w:val="20"/>
                <w:szCs w:val="20"/>
              </w:rPr>
            </w:pPr>
            <w:r w:rsidRPr="00D50E91">
              <w:rPr>
                <w:bCs/>
                <w:sz w:val="20"/>
                <w:szCs w:val="20"/>
              </w:rPr>
              <w:t xml:space="preserve"> </w:t>
            </w:r>
            <w:r w:rsidR="005B415B" w:rsidRPr="00D50E91">
              <w:rPr>
                <w:bCs/>
                <w:sz w:val="20"/>
                <w:szCs w:val="20"/>
              </w:rPr>
              <w:t>B</w:t>
            </w:r>
          </w:p>
        </w:tc>
        <w:tc>
          <w:tcPr>
            <w:tcW w:w="775" w:type="pct"/>
            <w:tcBorders>
              <w:top w:val="single" w:sz="8" w:space="0" w:color="000000"/>
              <w:left w:val="single" w:sz="8" w:space="0" w:color="000000"/>
              <w:bottom w:val="single" w:sz="8" w:space="0" w:color="000000"/>
              <w:right w:val="single" w:sz="8" w:space="0" w:color="000000"/>
            </w:tcBorders>
          </w:tcPr>
          <w:p w:rsidR="005B415B" w:rsidRPr="00D50E91" w:rsidRDefault="002C2AC5" w:rsidP="00B11587">
            <w:pPr>
              <w:ind w:left="360" w:hanging="360"/>
              <w:jc w:val="center"/>
              <w:rPr>
                <w:bCs/>
                <w:sz w:val="20"/>
                <w:szCs w:val="20"/>
              </w:rPr>
            </w:pPr>
            <w:r w:rsidRPr="00D50E91">
              <w:rPr>
                <w:bCs/>
                <w:sz w:val="20"/>
                <w:szCs w:val="20"/>
              </w:rPr>
              <w:t xml:space="preserve"> </w:t>
            </w:r>
            <w:r w:rsidR="005B415B" w:rsidRPr="00D50E91">
              <w:rPr>
                <w:bCs/>
                <w:sz w:val="20"/>
                <w:szCs w:val="20"/>
              </w:rPr>
              <w:t>C</w:t>
            </w:r>
          </w:p>
        </w:tc>
      </w:tr>
      <w:tr w:rsidR="005B415B" w:rsidRPr="00D50E91" w:rsidTr="00B11587">
        <w:tc>
          <w:tcPr>
            <w:tcW w:w="349" w:type="pct"/>
            <w:tcBorders>
              <w:top w:val="single" w:sz="8" w:space="0" w:color="000000"/>
              <w:left w:val="single" w:sz="8" w:space="0" w:color="000000"/>
              <w:bottom w:val="single" w:sz="8" w:space="0" w:color="000000"/>
              <w:right w:val="single" w:sz="8" w:space="0" w:color="000000"/>
            </w:tcBorders>
          </w:tcPr>
          <w:p w:rsidR="005B415B" w:rsidRPr="00D50E91" w:rsidRDefault="002C2AC5" w:rsidP="00B11587">
            <w:pPr>
              <w:ind w:left="360" w:hanging="360"/>
              <w:jc w:val="center"/>
              <w:rPr>
                <w:bCs/>
                <w:sz w:val="20"/>
                <w:szCs w:val="20"/>
              </w:rPr>
            </w:pPr>
            <w:r w:rsidRPr="00D50E91">
              <w:rPr>
                <w:bCs/>
                <w:sz w:val="20"/>
                <w:szCs w:val="20"/>
              </w:rPr>
              <w:t xml:space="preserve"> </w:t>
            </w:r>
            <w:r w:rsidR="005B415B" w:rsidRPr="00D50E91">
              <w:rPr>
                <w:bCs/>
                <w:sz w:val="20"/>
                <w:szCs w:val="20"/>
              </w:rPr>
              <w:t>1</w:t>
            </w:r>
          </w:p>
        </w:tc>
        <w:tc>
          <w:tcPr>
            <w:tcW w:w="2713" w:type="pct"/>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5B415B" w:rsidRPr="00D50E91" w:rsidRDefault="005B415B" w:rsidP="00B11587">
            <w:pPr>
              <w:rPr>
                <w:b/>
                <w:sz w:val="20"/>
                <w:szCs w:val="20"/>
              </w:rPr>
            </w:pPr>
            <w:r w:rsidRPr="00D50E91">
              <w:rPr>
                <w:b/>
                <w:bCs/>
                <w:sz w:val="20"/>
                <w:szCs w:val="20"/>
              </w:rPr>
              <w:t>Az építmény rendeltetése</w:t>
            </w:r>
          </w:p>
        </w:tc>
        <w:tc>
          <w:tcPr>
            <w:tcW w:w="1938" w:type="pct"/>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5B415B" w:rsidRPr="00D50E91" w:rsidRDefault="005B415B" w:rsidP="00B11587">
            <w:pPr>
              <w:ind w:left="360" w:hanging="360"/>
              <w:jc w:val="center"/>
              <w:rPr>
                <w:b/>
                <w:sz w:val="20"/>
                <w:szCs w:val="20"/>
              </w:rPr>
            </w:pPr>
            <w:r w:rsidRPr="00D50E91">
              <w:rPr>
                <w:b/>
                <w:bCs/>
                <w:sz w:val="20"/>
                <w:szCs w:val="20"/>
              </w:rPr>
              <w:t>Védelmi szint</w:t>
            </w:r>
          </w:p>
        </w:tc>
      </w:tr>
      <w:tr w:rsidR="005B415B" w:rsidRPr="00D50E91" w:rsidTr="00B11587">
        <w:tc>
          <w:tcPr>
            <w:tcW w:w="349" w:type="pct"/>
            <w:tcBorders>
              <w:top w:val="single" w:sz="8" w:space="0" w:color="000000"/>
              <w:left w:val="single" w:sz="8" w:space="0" w:color="000000"/>
              <w:bottom w:val="single" w:sz="8" w:space="0" w:color="000000"/>
              <w:right w:val="single" w:sz="8" w:space="0" w:color="000000"/>
            </w:tcBorders>
          </w:tcPr>
          <w:p w:rsidR="005B415B" w:rsidRPr="00D50E91" w:rsidRDefault="002C2AC5" w:rsidP="00B11587">
            <w:pPr>
              <w:ind w:left="360" w:hanging="360"/>
              <w:jc w:val="center"/>
              <w:rPr>
                <w:sz w:val="20"/>
                <w:szCs w:val="20"/>
              </w:rPr>
            </w:pPr>
            <w:r w:rsidRPr="00D50E91">
              <w:rPr>
                <w:sz w:val="20"/>
                <w:szCs w:val="20"/>
              </w:rPr>
              <w:t xml:space="preserve"> </w:t>
            </w:r>
            <w:r w:rsidR="006B65B8" w:rsidRPr="00D50E91">
              <w:rPr>
                <w:sz w:val="20"/>
                <w:szCs w:val="20"/>
              </w:rPr>
              <w:t>2</w:t>
            </w:r>
          </w:p>
        </w:tc>
        <w:tc>
          <w:tcPr>
            <w:tcW w:w="2713" w:type="pct"/>
            <w:vMerge/>
            <w:tcBorders>
              <w:top w:val="single" w:sz="8" w:space="0" w:color="000000"/>
              <w:left w:val="single" w:sz="8" w:space="0" w:color="000000"/>
              <w:bottom w:val="single" w:sz="8" w:space="0" w:color="000000"/>
              <w:right w:val="single" w:sz="8" w:space="0" w:color="000000"/>
            </w:tcBorders>
            <w:vAlign w:val="center"/>
          </w:tcPr>
          <w:p w:rsidR="005B415B" w:rsidRPr="00D50E91" w:rsidRDefault="005B415B" w:rsidP="00B11587">
            <w:pPr>
              <w:ind w:left="360"/>
              <w:rPr>
                <w:b/>
                <w:sz w:val="20"/>
                <w:szCs w:val="20"/>
              </w:rPr>
            </w:pPr>
          </w:p>
        </w:tc>
        <w:tc>
          <w:tcPr>
            <w:tcW w:w="116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5B415B" w:rsidRPr="00D50E91" w:rsidRDefault="005B415B" w:rsidP="00B11587">
            <w:pPr>
              <w:jc w:val="center"/>
              <w:rPr>
                <w:b/>
                <w:sz w:val="20"/>
                <w:szCs w:val="20"/>
              </w:rPr>
            </w:pPr>
            <w:r w:rsidRPr="00D50E91">
              <w:rPr>
                <w:b/>
                <w:sz w:val="20"/>
                <w:szCs w:val="20"/>
              </w:rPr>
              <w:t>Villámvédelmi fokozat</w:t>
            </w:r>
          </w:p>
          <w:p w:rsidR="005B415B" w:rsidRPr="00D50E91" w:rsidRDefault="005B415B" w:rsidP="00B11587">
            <w:pPr>
              <w:jc w:val="center"/>
              <w:rPr>
                <w:b/>
                <w:sz w:val="20"/>
                <w:szCs w:val="20"/>
              </w:rPr>
            </w:pPr>
            <w:r w:rsidRPr="00D50E91">
              <w:rPr>
                <w:b/>
                <w:sz w:val="20"/>
                <w:szCs w:val="20"/>
              </w:rPr>
              <w:t>(LPS)</w:t>
            </w:r>
          </w:p>
        </w:tc>
        <w:tc>
          <w:tcPr>
            <w:tcW w:w="77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5B415B" w:rsidRPr="00D50E91" w:rsidRDefault="006B65B8" w:rsidP="00B11587">
            <w:pPr>
              <w:jc w:val="center"/>
              <w:rPr>
                <w:b/>
                <w:sz w:val="18"/>
                <w:szCs w:val="18"/>
              </w:rPr>
            </w:pPr>
            <w:r w:rsidRPr="00D50E91">
              <w:rPr>
                <w:b/>
                <w:sz w:val="18"/>
                <w:szCs w:val="18"/>
              </w:rPr>
              <w:t>E</w:t>
            </w:r>
            <w:r w:rsidR="005B415B" w:rsidRPr="00D50E91">
              <w:rPr>
                <w:b/>
                <w:sz w:val="18"/>
                <w:szCs w:val="18"/>
              </w:rPr>
              <w:t>lektromágneses villámimpulzus elleni védelem fokozata</w:t>
            </w:r>
          </w:p>
          <w:p w:rsidR="005B415B" w:rsidRPr="00D50E91" w:rsidRDefault="005B415B" w:rsidP="00B11587">
            <w:pPr>
              <w:jc w:val="center"/>
              <w:rPr>
                <w:b/>
                <w:sz w:val="20"/>
                <w:szCs w:val="20"/>
              </w:rPr>
            </w:pPr>
            <w:r w:rsidRPr="00D50E91">
              <w:rPr>
                <w:b/>
                <w:sz w:val="18"/>
                <w:szCs w:val="18"/>
              </w:rPr>
              <w:t>(LPL</w:t>
            </w:r>
            <w:r w:rsidR="003528A8">
              <w:rPr>
                <w:b/>
                <w:sz w:val="18"/>
                <w:szCs w:val="18"/>
              </w:rPr>
              <w:t>-</w:t>
            </w:r>
            <w:r w:rsidRPr="00D50E91">
              <w:rPr>
                <w:b/>
                <w:sz w:val="18"/>
                <w:szCs w:val="18"/>
              </w:rPr>
              <w:t>SPM)</w:t>
            </w:r>
          </w:p>
          <w:p w:rsidR="005B415B" w:rsidRPr="00D50E91" w:rsidRDefault="005B415B" w:rsidP="00B11587">
            <w:pPr>
              <w:jc w:val="center"/>
              <w:rPr>
                <w:b/>
                <w:sz w:val="20"/>
                <w:szCs w:val="20"/>
              </w:rPr>
            </w:pPr>
          </w:p>
        </w:tc>
      </w:tr>
      <w:tr w:rsidR="005B415B" w:rsidRPr="00D50E91" w:rsidTr="00B11587">
        <w:trPr>
          <w:trHeight w:val="350"/>
        </w:trPr>
        <w:tc>
          <w:tcPr>
            <w:tcW w:w="349" w:type="pct"/>
            <w:tcBorders>
              <w:top w:val="single" w:sz="8" w:space="0" w:color="000000"/>
              <w:left w:val="single" w:sz="8" w:space="0" w:color="000000"/>
              <w:bottom w:val="single" w:sz="8" w:space="0" w:color="000000"/>
              <w:right w:val="single" w:sz="8" w:space="0" w:color="000000"/>
            </w:tcBorders>
          </w:tcPr>
          <w:p w:rsidR="005B415B" w:rsidRPr="00D50E91" w:rsidRDefault="006B65B8" w:rsidP="006B65B8">
            <w:pPr>
              <w:ind w:left="360" w:hanging="360"/>
              <w:jc w:val="center"/>
              <w:rPr>
                <w:sz w:val="20"/>
                <w:szCs w:val="20"/>
              </w:rPr>
            </w:pPr>
            <w:r w:rsidRPr="00D50E91">
              <w:rPr>
                <w:sz w:val="20"/>
                <w:szCs w:val="20"/>
              </w:rPr>
              <w:t xml:space="preserve"> 3</w:t>
            </w:r>
          </w:p>
        </w:tc>
        <w:tc>
          <w:tcPr>
            <w:tcW w:w="271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5B415B" w:rsidRPr="00D50E91" w:rsidRDefault="005B415B" w:rsidP="00B11587">
            <w:pPr>
              <w:rPr>
                <w:sz w:val="20"/>
                <w:szCs w:val="20"/>
              </w:rPr>
            </w:pPr>
            <w:r w:rsidRPr="00D50E91">
              <w:rPr>
                <w:sz w:val="20"/>
                <w:szCs w:val="20"/>
              </w:rPr>
              <w:t xml:space="preserve">Oktatási rendeltetésű épületek </w:t>
            </w:r>
          </w:p>
        </w:tc>
        <w:tc>
          <w:tcPr>
            <w:tcW w:w="116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5B415B" w:rsidRPr="00D50E91" w:rsidRDefault="005B415B" w:rsidP="00B11587">
            <w:pPr>
              <w:jc w:val="center"/>
              <w:rPr>
                <w:sz w:val="20"/>
                <w:szCs w:val="20"/>
              </w:rPr>
            </w:pPr>
            <w:r w:rsidRPr="00D50E91">
              <w:rPr>
                <w:sz w:val="20"/>
                <w:szCs w:val="20"/>
              </w:rPr>
              <w:t>III</w:t>
            </w:r>
          </w:p>
        </w:tc>
        <w:tc>
          <w:tcPr>
            <w:tcW w:w="77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5B415B" w:rsidRPr="00D50E91" w:rsidRDefault="005B415B" w:rsidP="00B11587">
            <w:pPr>
              <w:jc w:val="center"/>
              <w:rPr>
                <w:sz w:val="20"/>
                <w:szCs w:val="20"/>
              </w:rPr>
            </w:pPr>
            <w:r w:rsidRPr="00D50E91">
              <w:rPr>
                <w:sz w:val="20"/>
                <w:szCs w:val="20"/>
              </w:rPr>
              <w:t>III</w:t>
            </w:r>
            <w:r w:rsidR="003528A8">
              <w:rPr>
                <w:sz w:val="20"/>
                <w:szCs w:val="20"/>
              </w:rPr>
              <w:t>-</w:t>
            </w:r>
            <w:r w:rsidRPr="00D50E91">
              <w:rPr>
                <w:sz w:val="20"/>
                <w:szCs w:val="20"/>
              </w:rPr>
              <w:t>IV</w:t>
            </w:r>
          </w:p>
        </w:tc>
      </w:tr>
      <w:tr w:rsidR="005B415B" w:rsidRPr="00D50E91" w:rsidTr="00B11587">
        <w:trPr>
          <w:trHeight w:val="841"/>
        </w:trPr>
        <w:tc>
          <w:tcPr>
            <w:tcW w:w="349" w:type="pct"/>
            <w:tcBorders>
              <w:top w:val="single" w:sz="8" w:space="0" w:color="000000"/>
              <w:left w:val="single" w:sz="8" w:space="0" w:color="000000"/>
              <w:bottom w:val="single" w:sz="8" w:space="0" w:color="000000"/>
              <w:right w:val="single" w:sz="8" w:space="0" w:color="000000"/>
            </w:tcBorders>
          </w:tcPr>
          <w:p w:rsidR="005B415B" w:rsidRPr="00D50E91" w:rsidRDefault="006B65B8" w:rsidP="006B65B8">
            <w:pPr>
              <w:ind w:left="360" w:hanging="360"/>
              <w:jc w:val="center"/>
              <w:rPr>
                <w:sz w:val="20"/>
                <w:szCs w:val="20"/>
              </w:rPr>
            </w:pPr>
            <w:r w:rsidRPr="00D50E91">
              <w:rPr>
                <w:sz w:val="20"/>
                <w:szCs w:val="20"/>
              </w:rPr>
              <w:t xml:space="preserve"> 4</w:t>
            </w:r>
          </w:p>
        </w:tc>
        <w:tc>
          <w:tcPr>
            <w:tcW w:w="271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5B415B" w:rsidRPr="00D50E91" w:rsidRDefault="005B415B" w:rsidP="00B11587">
            <w:pPr>
              <w:rPr>
                <w:sz w:val="20"/>
                <w:szCs w:val="20"/>
              </w:rPr>
            </w:pPr>
            <w:r w:rsidRPr="00D50E91">
              <w:rPr>
                <w:sz w:val="20"/>
                <w:szCs w:val="20"/>
              </w:rPr>
              <w:t>Menekülésben korlátozott személyek elhelyezésére szolgáló épületek, egészségügyi rendeltetésű épületek, kényszertartózkodásra szolgáló épületek</w:t>
            </w:r>
          </w:p>
        </w:tc>
        <w:tc>
          <w:tcPr>
            <w:tcW w:w="116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5B415B" w:rsidRPr="00D50E91" w:rsidRDefault="005B415B" w:rsidP="00B11587">
            <w:pPr>
              <w:jc w:val="center"/>
              <w:rPr>
                <w:sz w:val="20"/>
                <w:szCs w:val="20"/>
              </w:rPr>
            </w:pPr>
          </w:p>
          <w:p w:rsidR="005B415B" w:rsidRPr="00D50E91" w:rsidRDefault="005B415B" w:rsidP="00B11587">
            <w:pPr>
              <w:jc w:val="center"/>
              <w:rPr>
                <w:sz w:val="20"/>
                <w:szCs w:val="20"/>
              </w:rPr>
            </w:pPr>
          </w:p>
          <w:p w:rsidR="005B415B" w:rsidRPr="00D50E91" w:rsidRDefault="005B415B" w:rsidP="00B11587">
            <w:pPr>
              <w:jc w:val="center"/>
              <w:rPr>
                <w:sz w:val="20"/>
                <w:szCs w:val="20"/>
              </w:rPr>
            </w:pPr>
            <w:r w:rsidRPr="00D50E91">
              <w:rPr>
                <w:sz w:val="20"/>
                <w:szCs w:val="20"/>
              </w:rPr>
              <w:t>III</w:t>
            </w:r>
          </w:p>
        </w:tc>
        <w:tc>
          <w:tcPr>
            <w:tcW w:w="77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5B415B" w:rsidRPr="00D50E91" w:rsidRDefault="005B415B" w:rsidP="00B11587">
            <w:pPr>
              <w:jc w:val="center"/>
              <w:rPr>
                <w:sz w:val="20"/>
                <w:szCs w:val="20"/>
              </w:rPr>
            </w:pPr>
          </w:p>
          <w:p w:rsidR="005B415B" w:rsidRPr="00D50E91" w:rsidRDefault="005B415B" w:rsidP="00B11587">
            <w:pPr>
              <w:jc w:val="center"/>
              <w:rPr>
                <w:sz w:val="20"/>
                <w:szCs w:val="20"/>
              </w:rPr>
            </w:pPr>
          </w:p>
          <w:p w:rsidR="005B415B" w:rsidRPr="00D50E91" w:rsidRDefault="005B415B" w:rsidP="00B11587">
            <w:pPr>
              <w:jc w:val="center"/>
              <w:rPr>
                <w:sz w:val="20"/>
                <w:szCs w:val="20"/>
              </w:rPr>
            </w:pPr>
            <w:r w:rsidRPr="00D50E91">
              <w:rPr>
                <w:sz w:val="20"/>
                <w:szCs w:val="20"/>
              </w:rPr>
              <w:t>III</w:t>
            </w:r>
            <w:r w:rsidR="003528A8">
              <w:rPr>
                <w:sz w:val="20"/>
                <w:szCs w:val="20"/>
              </w:rPr>
              <w:t>-</w:t>
            </w:r>
            <w:r w:rsidRPr="00D50E91">
              <w:rPr>
                <w:sz w:val="20"/>
                <w:szCs w:val="20"/>
              </w:rPr>
              <w:t>IV</w:t>
            </w:r>
          </w:p>
        </w:tc>
      </w:tr>
      <w:tr w:rsidR="005B415B" w:rsidRPr="00D50E91" w:rsidTr="00B11587">
        <w:trPr>
          <w:trHeight w:val="582"/>
        </w:trPr>
        <w:tc>
          <w:tcPr>
            <w:tcW w:w="349" w:type="pct"/>
            <w:tcBorders>
              <w:top w:val="single" w:sz="8" w:space="0" w:color="000000"/>
              <w:left w:val="single" w:sz="8" w:space="0" w:color="000000"/>
              <w:bottom w:val="single" w:sz="8" w:space="0" w:color="000000"/>
              <w:right w:val="single" w:sz="8" w:space="0" w:color="000000"/>
            </w:tcBorders>
          </w:tcPr>
          <w:p w:rsidR="005B415B" w:rsidRPr="00D50E91" w:rsidRDefault="006B65B8" w:rsidP="006B65B8">
            <w:pPr>
              <w:ind w:left="360" w:hanging="360"/>
              <w:jc w:val="center"/>
              <w:rPr>
                <w:sz w:val="20"/>
                <w:szCs w:val="20"/>
              </w:rPr>
            </w:pPr>
            <w:r w:rsidRPr="00D50E91">
              <w:rPr>
                <w:sz w:val="20"/>
                <w:szCs w:val="20"/>
              </w:rPr>
              <w:t xml:space="preserve"> 5</w:t>
            </w:r>
          </w:p>
        </w:tc>
        <w:tc>
          <w:tcPr>
            <w:tcW w:w="271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5B415B" w:rsidRPr="00D50E91" w:rsidRDefault="005B415B" w:rsidP="00B11587">
            <w:pPr>
              <w:rPr>
                <w:sz w:val="20"/>
                <w:szCs w:val="20"/>
              </w:rPr>
            </w:pPr>
            <w:r w:rsidRPr="00D50E91">
              <w:rPr>
                <w:sz w:val="20"/>
                <w:szCs w:val="20"/>
              </w:rPr>
              <w:t>Tömegtartózkodásra szolgáló épületek, építmények</w:t>
            </w:r>
          </w:p>
          <w:p w:rsidR="005B415B" w:rsidRPr="00D50E91" w:rsidRDefault="005B415B" w:rsidP="00B11587">
            <w:pPr>
              <w:rPr>
                <w:sz w:val="20"/>
                <w:szCs w:val="20"/>
              </w:rPr>
            </w:pPr>
            <w:r w:rsidRPr="00D50E91">
              <w:rPr>
                <w:sz w:val="20"/>
                <w:szCs w:val="20"/>
              </w:rPr>
              <w:t>(nem tartozik ide az ideiglenes sátrak és ponyva szerkezetű építmények)</w:t>
            </w:r>
          </w:p>
        </w:tc>
        <w:tc>
          <w:tcPr>
            <w:tcW w:w="116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5B415B" w:rsidRPr="00D50E91" w:rsidRDefault="005B415B" w:rsidP="00B11587">
            <w:pPr>
              <w:jc w:val="center"/>
              <w:rPr>
                <w:sz w:val="20"/>
                <w:szCs w:val="20"/>
              </w:rPr>
            </w:pPr>
          </w:p>
          <w:p w:rsidR="005B415B" w:rsidRPr="00D50E91" w:rsidRDefault="005B415B" w:rsidP="00B11587">
            <w:pPr>
              <w:jc w:val="center"/>
              <w:rPr>
                <w:sz w:val="20"/>
                <w:szCs w:val="20"/>
              </w:rPr>
            </w:pPr>
            <w:r w:rsidRPr="00D50E91">
              <w:rPr>
                <w:sz w:val="20"/>
                <w:szCs w:val="20"/>
              </w:rPr>
              <w:t>IV</w:t>
            </w:r>
          </w:p>
        </w:tc>
        <w:tc>
          <w:tcPr>
            <w:tcW w:w="77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5B415B" w:rsidRPr="00D50E91" w:rsidRDefault="005B415B" w:rsidP="00B11587">
            <w:pPr>
              <w:jc w:val="center"/>
              <w:rPr>
                <w:sz w:val="20"/>
                <w:szCs w:val="20"/>
              </w:rPr>
            </w:pPr>
          </w:p>
          <w:p w:rsidR="005B415B" w:rsidRPr="00D50E91" w:rsidRDefault="005B415B" w:rsidP="00B11587">
            <w:pPr>
              <w:jc w:val="center"/>
              <w:rPr>
                <w:sz w:val="20"/>
                <w:szCs w:val="20"/>
              </w:rPr>
            </w:pPr>
            <w:r w:rsidRPr="00D50E91">
              <w:rPr>
                <w:sz w:val="20"/>
                <w:szCs w:val="20"/>
              </w:rPr>
              <w:t>III</w:t>
            </w:r>
            <w:r w:rsidR="003528A8">
              <w:rPr>
                <w:sz w:val="20"/>
                <w:szCs w:val="20"/>
              </w:rPr>
              <w:t>-</w:t>
            </w:r>
            <w:r w:rsidRPr="00D50E91">
              <w:rPr>
                <w:sz w:val="20"/>
                <w:szCs w:val="20"/>
              </w:rPr>
              <w:t>IV</w:t>
            </w:r>
          </w:p>
        </w:tc>
      </w:tr>
      <w:tr w:rsidR="005B415B" w:rsidRPr="00D50E91" w:rsidTr="00B11587">
        <w:trPr>
          <w:trHeight w:val="612"/>
        </w:trPr>
        <w:tc>
          <w:tcPr>
            <w:tcW w:w="349" w:type="pct"/>
            <w:tcBorders>
              <w:top w:val="single" w:sz="8" w:space="0" w:color="000000"/>
              <w:left w:val="single" w:sz="8" w:space="0" w:color="000000"/>
              <w:bottom w:val="single" w:sz="8" w:space="0" w:color="000000"/>
              <w:right w:val="single" w:sz="8" w:space="0" w:color="000000"/>
            </w:tcBorders>
          </w:tcPr>
          <w:p w:rsidR="005B415B" w:rsidRPr="00D50E91" w:rsidRDefault="006B65B8" w:rsidP="006B65B8">
            <w:pPr>
              <w:ind w:left="360" w:hanging="360"/>
              <w:jc w:val="center"/>
              <w:rPr>
                <w:sz w:val="20"/>
                <w:szCs w:val="20"/>
              </w:rPr>
            </w:pPr>
            <w:r w:rsidRPr="00D50E91">
              <w:rPr>
                <w:sz w:val="20"/>
                <w:szCs w:val="20"/>
              </w:rPr>
              <w:t xml:space="preserve"> 6</w:t>
            </w:r>
          </w:p>
        </w:tc>
        <w:tc>
          <w:tcPr>
            <w:tcW w:w="271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5B415B" w:rsidRPr="00D50E91" w:rsidRDefault="005B415B" w:rsidP="00B11587">
            <w:pPr>
              <w:rPr>
                <w:sz w:val="20"/>
                <w:szCs w:val="20"/>
              </w:rPr>
            </w:pPr>
            <w:r w:rsidRPr="00D50E91">
              <w:rPr>
                <w:sz w:val="20"/>
                <w:szCs w:val="20"/>
              </w:rPr>
              <w:t>Szállodák, kollégiumi épületek (50 fő befogadóképesség felett)</w:t>
            </w:r>
          </w:p>
        </w:tc>
        <w:tc>
          <w:tcPr>
            <w:tcW w:w="116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5B415B" w:rsidRPr="00D50E91" w:rsidRDefault="005B415B" w:rsidP="00B11587">
            <w:pPr>
              <w:jc w:val="center"/>
              <w:rPr>
                <w:sz w:val="20"/>
                <w:szCs w:val="20"/>
              </w:rPr>
            </w:pPr>
          </w:p>
          <w:p w:rsidR="005B415B" w:rsidRPr="00D50E91" w:rsidRDefault="005B415B" w:rsidP="00B11587">
            <w:pPr>
              <w:jc w:val="center"/>
              <w:rPr>
                <w:sz w:val="20"/>
                <w:szCs w:val="20"/>
              </w:rPr>
            </w:pPr>
            <w:r w:rsidRPr="00D50E91">
              <w:rPr>
                <w:sz w:val="20"/>
                <w:szCs w:val="20"/>
              </w:rPr>
              <w:t>III</w:t>
            </w:r>
          </w:p>
        </w:tc>
        <w:tc>
          <w:tcPr>
            <w:tcW w:w="77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5B415B" w:rsidRPr="00D50E91" w:rsidRDefault="005B415B" w:rsidP="00B11587">
            <w:pPr>
              <w:jc w:val="center"/>
              <w:rPr>
                <w:sz w:val="20"/>
                <w:szCs w:val="20"/>
              </w:rPr>
            </w:pPr>
          </w:p>
          <w:p w:rsidR="005B415B" w:rsidRPr="00D50E91" w:rsidRDefault="005B415B" w:rsidP="00B11587">
            <w:pPr>
              <w:jc w:val="center"/>
              <w:rPr>
                <w:sz w:val="20"/>
                <w:szCs w:val="20"/>
              </w:rPr>
            </w:pPr>
            <w:r w:rsidRPr="00D50E91">
              <w:rPr>
                <w:sz w:val="20"/>
                <w:szCs w:val="20"/>
              </w:rPr>
              <w:t>III</w:t>
            </w:r>
            <w:r w:rsidR="003528A8">
              <w:rPr>
                <w:sz w:val="20"/>
                <w:szCs w:val="20"/>
              </w:rPr>
              <w:t>-</w:t>
            </w:r>
            <w:r w:rsidRPr="00D50E91">
              <w:rPr>
                <w:sz w:val="20"/>
                <w:szCs w:val="20"/>
              </w:rPr>
              <w:t>IV</w:t>
            </w:r>
          </w:p>
        </w:tc>
      </w:tr>
      <w:tr w:rsidR="005B415B" w:rsidRPr="00D50E91" w:rsidTr="00B11587">
        <w:tc>
          <w:tcPr>
            <w:tcW w:w="349" w:type="pct"/>
            <w:tcBorders>
              <w:top w:val="single" w:sz="8" w:space="0" w:color="000000"/>
              <w:left w:val="single" w:sz="8" w:space="0" w:color="000000"/>
              <w:bottom w:val="single" w:sz="8" w:space="0" w:color="000000"/>
              <w:right w:val="single" w:sz="8" w:space="0" w:color="000000"/>
            </w:tcBorders>
          </w:tcPr>
          <w:p w:rsidR="005B415B" w:rsidRPr="00D50E91" w:rsidRDefault="006B65B8" w:rsidP="006B65B8">
            <w:pPr>
              <w:ind w:left="360" w:hanging="360"/>
              <w:jc w:val="center"/>
              <w:rPr>
                <w:sz w:val="20"/>
                <w:szCs w:val="20"/>
              </w:rPr>
            </w:pPr>
            <w:r w:rsidRPr="00D50E91">
              <w:rPr>
                <w:sz w:val="20"/>
                <w:szCs w:val="20"/>
              </w:rPr>
              <w:t xml:space="preserve"> 7</w:t>
            </w:r>
          </w:p>
        </w:tc>
        <w:tc>
          <w:tcPr>
            <w:tcW w:w="271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5B415B" w:rsidRPr="00D50E91" w:rsidRDefault="005B415B" w:rsidP="00B11587">
            <w:pPr>
              <w:rPr>
                <w:sz w:val="20"/>
                <w:szCs w:val="20"/>
              </w:rPr>
            </w:pPr>
            <w:r w:rsidRPr="00D50E91">
              <w:rPr>
                <w:sz w:val="20"/>
                <w:szCs w:val="20"/>
              </w:rPr>
              <w:t xml:space="preserve">Robbanásveszélyes épület vagy szabadtér  </w:t>
            </w:r>
          </w:p>
        </w:tc>
        <w:tc>
          <w:tcPr>
            <w:tcW w:w="116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5B415B" w:rsidRPr="00D50E91" w:rsidRDefault="005B415B" w:rsidP="00B11587">
            <w:pPr>
              <w:jc w:val="center"/>
              <w:rPr>
                <w:sz w:val="20"/>
                <w:szCs w:val="20"/>
              </w:rPr>
            </w:pPr>
          </w:p>
          <w:p w:rsidR="005B415B" w:rsidRPr="00D50E91" w:rsidRDefault="005B415B" w:rsidP="00B11587">
            <w:pPr>
              <w:jc w:val="center"/>
              <w:rPr>
                <w:sz w:val="20"/>
                <w:szCs w:val="20"/>
              </w:rPr>
            </w:pPr>
            <w:r w:rsidRPr="00D50E91">
              <w:rPr>
                <w:sz w:val="20"/>
                <w:szCs w:val="20"/>
              </w:rPr>
              <w:t>II</w:t>
            </w:r>
          </w:p>
        </w:tc>
        <w:tc>
          <w:tcPr>
            <w:tcW w:w="77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5B415B" w:rsidRPr="00D50E91" w:rsidRDefault="005B415B" w:rsidP="00B11587">
            <w:pPr>
              <w:jc w:val="center"/>
              <w:rPr>
                <w:sz w:val="20"/>
                <w:szCs w:val="20"/>
              </w:rPr>
            </w:pPr>
          </w:p>
          <w:p w:rsidR="005B415B" w:rsidRPr="00D50E91" w:rsidRDefault="005B415B" w:rsidP="00B11587">
            <w:pPr>
              <w:jc w:val="center"/>
              <w:rPr>
                <w:sz w:val="20"/>
                <w:szCs w:val="20"/>
              </w:rPr>
            </w:pPr>
            <w:r w:rsidRPr="00D50E91">
              <w:rPr>
                <w:sz w:val="20"/>
                <w:szCs w:val="20"/>
              </w:rPr>
              <w:t>II</w:t>
            </w:r>
          </w:p>
        </w:tc>
      </w:tr>
      <w:tr w:rsidR="005B415B" w:rsidRPr="00D50E91" w:rsidTr="00B11587">
        <w:tc>
          <w:tcPr>
            <w:tcW w:w="349" w:type="pct"/>
            <w:tcBorders>
              <w:top w:val="single" w:sz="8" w:space="0" w:color="000000"/>
              <w:left w:val="single" w:sz="8" w:space="0" w:color="000000"/>
              <w:bottom w:val="single" w:sz="8" w:space="0" w:color="000000"/>
              <w:right w:val="single" w:sz="8" w:space="0" w:color="000000"/>
            </w:tcBorders>
          </w:tcPr>
          <w:p w:rsidR="005B415B" w:rsidRPr="00D50E91" w:rsidRDefault="006B65B8" w:rsidP="006B65B8">
            <w:pPr>
              <w:ind w:left="360" w:hanging="360"/>
              <w:jc w:val="center"/>
              <w:rPr>
                <w:sz w:val="20"/>
                <w:szCs w:val="20"/>
              </w:rPr>
            </w:pPr>
            <w:r w:rsidRPr="00D50E91">
              <w:rPr>
                <w:sz w:val="20"/>
                <w:szCs w:val="20"/>
              </w:rPr>
              <w:t xml:space="preserve"> 8</w:t>
            </w:r>
          </w:p>
        </w:tc>
        <w:tc>
          <w:tcPr>
            <w:tcW w:w="271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5B415B" w:rsidRPr="00D50E91" w:rsidRDefault="005B415B" w:rsidP="00B11587">
            <w:pPr>
              <w:rPr>
                <w:sz w:val="20"/>
                <w:szCs w:val="20"/>
              </w:rPr>
            </w:pPr>
            <w:r w:rsidRPr="00D50E91">
              <w:rPr>
                <w:sz w:val="20"/>
                <w:szCs w:val="20"/>
              </w:rPr>
              <w:t>Korlátozott mértékben robbanásveszélyes épület</w:t>
            </w:r>
          </w:p>
        </w:tc>
        <w:tc>
          <w:tcPr>
            <w:tcW w:w="116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5B415B" w:rsidRPr="00D50E91" w:rsidRDefault="005B415B" w:rsidP="00B11587">
            <w:pPr>
              <w:jc w:val="center"/>
              <w:rPr>
                <w:sz w:val="20"/>
                <w:szCs w:val="20"/>
              </w:rPr>
            </w:pPr>
            <w:r w:rsidRPr="00D50E91">
              <w:rPr>
                <w:sz w:val="20"/>
                <w:szCs w:val="20"/>
              </w:rPr>
              <w:t>Robbanásveszélyes térrész: II</w:t>
            </w:r>
          </w:p>
          <w:p w:rsidR="005B415B" w:rsidRPr="00D50E91" w:rsidRDefault="005B415B" w:rsidP="00B11587">
            <w:pPr>
              <w:jc w:val="center"/>
              <w:rPr>
                <w:sz w:val="20"/>
                <w:szCs w:val="20"/>
              </w:rPr>
            </w:pPr>
          </w:p>
          <w:p w:rsidR="005B415B" w:rsidRPr="00D50E91" w:rsidRDefault="005B415B" w:rsidP="00B11587">
            <w:pPr>
              <w:jc w:val="center"/>
              <w:rPr>
                <w:sz w:val="20"/>
                <w:szCs w:val="20"/>
              </w:rPr>
            </w:pPr>
            <w:r w:rsidRPr="00D50E91">
              <w:rPr>
                <w:sz w:val="20"/>
                <w:szCs w:val="20"/>
              </w:rPr>
              <w:t>Nem robbanásveszélyes térrész: IV</w:t>
            </w:r>
          </w:p>
        </w:tc>
        <w:tc>
          <w:tcPr>
            <w:tcW w:w="77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5B415B" w:rsidRPr="00D50E91" w:rsidRDefault="005B415B" w:rsidP="00B11587">
            <w:pPr>
              <w:jc w:val="center"/>
              <w:rPr>
                <w:sz w:val="20"/>
                <w:szCs w:val="20"/>
              </w:rPr>
            </w:pPr>
          </w:p>
          <w:p w:rsidR="005B415B" w:rsidRPr="00D50E91" w:rsidRDefault="005B415B" w:rsidP="00B11587">
            <w:pPr>
              <w:jc w:val="center"/>
              <w:rPr>
                <w:sz w:val="20"/>
                <w:szCs w:val="20"/>
              </w:rPr>
            </w:pPr>
          </w:p>
          <w:p w:rsidR="005B415B" w:rsidRPr="00D50E91" w:rsidRDefault="005B415B" w:rsidP="00B11587">
            <w:pPr>
              <w:jc w:val="center"/>
              <w:rPr>
                <w:sz w:val="20"/>
                <w:szCs w:val="20"/>
              </w:rPr>
            </w:pPr>
            <w:r w:rsidRPr="00D50E91">
              <w:rPr>
                <w:sz w:val="20"/>
                <w:szCs w:val="20"/>
              </w:rPr>
              <w:t>III</w:t>
            </w:r>
            <w:r w:rsidR="003528A8">
              <w:rPr>
                <w:sz w:val="20"/>
                <w:szCs w:val="20"/>
              </w:rPr>
              <w:t>-</w:t>
            </w:r>
            <w:r w:rsidRPr="00D50E91">
              <w:rPr>
                <w:sz w:val="20"/>
                <w:szCs w:val="20"/>
              </w:rPr>
              <w:t>IV</w:t>
            </w:r>
          </w:p>
        </w:tc>
      </w:tr>
    </w:tbl>
    <w:p w:rsidR="005B415B" w:rsidRPr="00D50E91" w:rsidRDefault="005B415B" w:rsidP="00595B18">
      <w:pPr>
        <w:jc w:val="both"/>
      </w:pPr>
    </w:p>
    <w:p w:rsidR="005B415B" w:rsidRPr="00D50E91" w:rsidRDefault="005B415B" w:rsidP="00595B18">
      <w:pPr>
        <w:jc w:val="both"/>
      </w:pPr>
    </w:p>
    <w:p w:rsidR="005B415B" w:rsidRPr="00D50E91" w:rsidRDefault="005B415B" w:rsidP="00282674">
      <w:pPr>
        <w:rPr>
          <w:b/>
          <w:sz w:val="20"/>
          <w:szCs w:val="20"/>
        </w:rPr>
      </w:pPr>
      <w:r w:rsidRPr="00D50E91">
        <w:rPr>
          <w:b/>
          <w:sz w:val="20"/>
          <w:szCs w:val="20"/>
        </w:rPr>
        <w:t>2. táblázat, az Elektrosztatikus feltöltődés és kisülés elleni védelem alcímhez</w:t>
      </w:r>
    </w:p>
    <w:p w:rsidR="00B2688E" w:rsidRPr="00D50E91" w:rsidRDefault="00B2688E" w:rsidP="00282674">
      <w:pPr>
        <w:rPr>
          <w:b/>
          <w:sz w:val="20"/>
          <w:szCs w:val="20"/>
        </w:rPr>
      </w:pPr>
    </w:p>
    <w:tbl>
      <w:tblPr>
        <w:tblpPr w:leftFromText="141" w:rightFromText="141" w:vertAnchor="text" w:horzAnchor="margin"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27"/>
        <w:gridCol w:w="1327"/>
        <w:gridCol w:w="1316"/>
        <w:gridCol w:w="1316"/>
        <w:gridCol w:w="1316"/>
      </w:tblGrid>
      <w:tr w:rsidR="00B2688E" w:rsidRPr="00D50E91" w:rsidTr="00B2688E">
        <w:tc>
          <w:tcPr>
            <w:tcW w:w="1327" w:type="dxa"/>
          </w:tcPr>
          <w:p w:rsidR="00B2688E" w:rsidRPr="00D50E91" w:rsidRDefault="00B2688E" w:rsidP="00B2688E">
            <w:pPr>
              <w:jc w:val="center"/>
              <w:rPr>
                <w:sz w:val="20"/>
                <w:szCs w:val="20"/>
              </w:rPr>
            </w:pPr>
          </w:p>
        </w:tc>
        <w:tc>
          <w:tcPr>
            <w:tcW w:w="1327" w:type="dxa"/>
            <w:shd w:val="clear" w:color="auto" w:fill="auto"/>
            <w:vAlign w:val="center"/>
          </w:tcPr>
          <w:p w:rsidR="00B2688E" w:rsidRPr="00D50E91" w:rsidRDefault="002C013D" w:rsidP="00B2688E">
            <w:pPr>
              <w:jc w:val="center"/>
              <w:rPr>
                <w:sz w:val="20"/>
                <w:szCs w:val="20"/>
              </w:rPr>
            </w:pPr>
            <w:r w:rsidRPr="00D50E91">
              <w:rPr>
                <w:sz w:val="20"/>
                <w:szCs w:val="20"/>
              </w:rPr>
              <w:t xml:space="preserve"> </w:t>
            </w:r>
            <w:r w:rsidR="00B2688E" w:rsidRPr="00D50E91">
              <w:rPr>
                <w:sz w:val="20"/>
                <w:szCs w:val="20"/>
              </w:rPr>
              <w:t>A</w:t>
            </w:r>
          </w:p>
        </w:tc>
        <w:tc>
          <w:tcPr>
            <w:tcW w:w="1316" w:type="dxa"/>
            <w:vAlign w:val="bottom"/>
          </w:tcPr>
          <w:p w:rsidR="00B2688E" w:rsidRPr="00D50E91" w:rsidRDefault="002C013D" w:rsidP="00B2688E">
            <w:pPr>
              <w:jc w:val="center"/>
              <w:rPr>
                <w:sz w:val="20"/>
                <w:szCs w:val="20"/>
              </w:rPr>
            </w:pPr>
            <w:r w:rsidRPr="00D50E91">
              <w:rPr>
                <w:sz w:val="20"/>
                <w:szCs w:val="20"/>
              </w:rPr>
              <w:t xml:space="preserve"> </w:t>
            </w:r>
            <w:r w:rsidR="00B2688E" w:rsidRPr="00D50E91">
              <w:rPr>
                <w:sz w:val="20"/>
                <w:szCs w:val="20"/>
              </w:rPr>
              <w:t>B</w:t>
            </w:r>
          </w:p>
        </w:tc>
        <w:tc>
          <w:tcPr>
            <w:tcW w:w="1316" w:type="dxa"/>
            <w:vAlign w:val="bottom"/>
          </w:tcPr>
          <w:p w:rsidR="00B2688E" w:rsidRPr="00D50E91" w:rsidRDefault="002C013D" w:rsidP="00B2688E">
            <w:pPr>
              <w:jc w:val="center"/>
              <w:rPr>
                <w:sz w:val="20"/>
                <w:szCs w:val="20"/>
              </w:rPr>
            </w:pPr>
            <w:r w:rsidRPr="00D50E91">
              <w:rPr>
                <w:sz w:val="20"/>
                <w:szCs w:val="20"/>
              </w:rPr>
              <w:t xml:space="preserve"> </w:t>
            </w:r>
            <w:r w:rsidR="00B2688E" w:rsidRPr="00D50E91">
              <w:rPr>
                <w:sz w:val="20"/>
                <w:szCs w:val="20"/>
              </w:rPr>
              <w:t>C</w:t>
            </w:r>
          </w:p>
        </w:tc>
        <w:tc>
          <w:tcPr>
            <w:tcW w:w="1316" w:type="dxa"/>
            <w:vAlign w:val="bottom"/>
          </w:tcPr>
          <w:p w:rsidR="00B2688E" w:rsidRPr="00D50E91" w:rsidRDefault="002C013D" w:rsidP="00B2688E">
            <w:pPr>
              <w:jc w:val="center"/>
              <w:rPr>
                <w:sz w:val="20"/>
                <w:szCs w:val="20"/>
              </w:rPr>
            </w:pPr>
            <w:r w:rsidRPr="00D50E91">
              <w:rPr>
                <w:sz w:val="20"/>
                <w:szCs w:val="20"/>
              </w:rPr>
              <w:t xml:space="preserve"> </w:t>
            </w:r>
            <w:r w:rsidR="00B2688E" w:rsidRPr="00D50E91">
              <w:rPr>
                <w:sz w:val="20"/>
                <w:szCs w:val="20"/>
              </w:rPr>
              <w:t>D</w:t>
            </w:r>
          </w:p>
        </w:tc>
      </w:tr>
      <w:tr w:rsidR="00B2688E" w:rsidRPr="00D50E91" w:rsidTr="00B2688E">
        <w:tc>
          <w:tcPr>
            <w:tcW w:w="1327" w:type="dxa"/>
          </w:tcPr>
          <w:p w:rsidR="00B2688E" w:rsidRPr="00D50E91" w:rsidRDefault="002C013D" w:rsidP="00B2688E">
            <w:pPr>
              <w:jc w:val="center"/>
              <w:rPr>
                <w:sz w:val="20"/>
                <w:szCs w:val="20"/>
              </w:rPr>
            </w:pPr>
            <w:r w:rsidRPr="00D50E91">
              <w:rPr>
                <w:sz w:val="20"/>
                <w:szCs w:val="20"/>
              </w:rPr>
              <w:t xml:space="preserve"> </w:t>
            </w:r>
            <w:r w:rsidR="00B2688E" w:rsidRPr="00D50E91">
              <w:rPr>
                <w:sz w:val="20"/>
                <w:szCs w:val="20"/>
              </w:rPr>
              <w:t>1</w:t>
            </w:r>
          </w:p>
        </w:tc>
        <w:tc>
          <w:tcPr>
            <w:tcW w:w="1327" w:type="dxa"/>
            <w:vMerge w:val="restart"/>
            <w:shd w:val="clear" w:color="auto" w:fill="auto"/>
            <w:vAlign w:val="center"/>
          </w:tcPr>
          <w:p w:rsidR="00B2688E" w:rsidRPr="00D50E91" w:rsidRDefault="00B2688E" w:rsidP="00B2688E">
            <w:pPr>
              <w:jc w:val="center"/>
              <w:rPr>
                <w:sz w:val="20"/>
                <w:szCs w:val="20"/>
              </w:rPr>
            </w:pPr>
          </w:p>
          <w:p w:rsidR="00B2688E" w:rsidRPr="00D50E91" w:rsidRDefault="00B2688E" w:rsidP="00B2688E">
            <w:pPr>
              <w:jc w:val="center"/>
              <w:rPr>
                <w:sz w:val="20"/>
                <w:szCs w:val="20"/>
              </w:rPr>
            </w:pPr>
          </w:p>
          <w:p w:rsidR="00B2688E" w:rsidRPr="00D50E91" w:rsidRDefault="00270DBE" w:rsidP="00B2688E">
            <w:pPr>
              <w:jc w:val="center"/>
              <w:rPr>
                <w:b/>
                <w:sz w:val="20"/>
                <w:szCs w:val="20"/>
              </w:rPr>
            </w:pPr>
            <w:r w:rsidRPr="00D50E91">
              <w:rPr>
                <w:b/>
                <w:sz w:val="20"/>
                <w:szCs w:val="20"/>
              </w:rPr>
              <w:t>A</w:t>
            </w:r>
            <w:r w:rsidR="00B2688E" w:rsidRPr="00D50E91">
              <w:rPr>
                <w:b/>
                <w:sz w:val="20"/>
                <w:szCs w:val="20"/>
              </w:rPr>
              <w:t xml:space="preserve"> feltöltődés forrása</w:t>
            </w:r>
          </w:p>
          <w:p w:rsidR="00B2688E" w:rsidRPr="00D50E91" w:rsidRDefault="00B2688E" w:rsidP="00B2688E">
            <w:pPr>
              <w:jc w:val="center"/>
              <w:rPr>
                <w:sz w:val="20"/>
                <w:szCs w:val="20"/>
              </w:rPr>
            </w:pPr>
          </w:p>
        </w:tc>
        <w:tc>
          <w:tcPr>
            <w:tcW w:w="3948" w:type="dxa"/>
            <w:gridSpan w:val="3"/>
            <w:vAlign w:val="bottom"/>
          </w:tcPr>
          <w:p w:rsidR="00B2688E" w:rsidRPr="00D50E91" w:rsidRDefault="00B2688E" w:rsidP="00B2688E">
            <w:pPr>
              <w:jc w:val="center"/>
              <w:rPr>
                <w:b/>
                <w:sz w:val="20"/>
                <w:szCs w:val="20"/>
              </w:rPr>
            </w:pPr>
            <w:r w:rsidRPr="00D50E91">
              <w:rPr>
                <w:b/>
                <w:sz w:val="20"/>
                <w:szCs w:val="20"/>
              </w:rPr>
              <w:lastRenderedPageBreak/>
              <w:t>Zónában a veszélyes anyag csoportja:</w:t>
            </w:r>
          </w:p>
        </w:tc>
      </w:tr>
      <w:tr w:rsidR="00B2688E" w:rsidRPr="00D50E91" w:rsidTr="00B2688E">
        <w:tc>
          <w:tcPr>
            <w:tcW w:w="1327" w:type="dxa"/>
          </w:tcPr>
          <w:p w:rsidR="00B2688E" w:rsidRPr="00D50E91" w:rsidRDefault="002C013D" w:rsidP="00B2688E">
            <w:pPr>
              <w:jc w:val="center"/>
              <w:rPr>
                <w:sz w:val="20"/>
                <w:szCs w:val="20"/>
              </w:rPr>
            </w:pPr>
            <w:r w:rsidRPr="00D50E91">
              <w:rPr>
                <w:sz w:val="20"/>
                <w:szCs w:val="20"/>
              </w:rPr>
              <w:t xml:space="preserve"> </w:t>
            </w:r>
            <w:r w:rsidR="00B2688E" w:rsidRPr="00D50E91">
              <w:rPr>
                <w:sz w:val="20"/>
                <w:szCs w:val="20"/>
              </w:rPr>
              <w:t>2</w:t>
            </w:r>
          </w:p>
        </w:tc>
        <w:tc>
          <w:tcPr>
            <w:tcW w:w="1327" w:type="dxa"/>
            <w:vMerge/>
            <w:shd w:val="clear" w:color="auto" w:fill="auto"/>
          </w:tcPr>
          <w:p w:rsidR="00B2688E" w:rsidRPr="00D50E91" w:rsidRDefault="00B2688E" w:rsidP="00B2688E">
            <w:pPr>
              <w:jc w:val="center"/>
              <w:rPr>
                <w:sz w:val="20"/>
                <w:szCs w:val="20"/>
              </w:rPr>
            </w:pPr>
          </w:p>
        </w:tc>
        <w:tc>
          <w:tcPr>
            <w:tcW w:w="1316" w:type="dxa"/>
            <w:vAlign w:val="center"/>
          </w:tcPr>
          <w:p w:rsidR="00B2688E" w:rsidRPr="00D50E91" w:rsidRDefault="00B2688E" w:rsidP="00B2688E">
            <w:pPr>
              <w:jc w:val="center"/>
              <w:rPr>
                <w:sz w:val="20"/>
                <w:szCs w:val="20"/>
              </w:rPr>
            </w:pPr>
            <w:r w:rsidRPr="00D50E91">
              <w:rPr>
                <w:sz w:val="20"/>
                <w:szCs w:val="20"/>
              </w:rPr>
              <w:t>ÁSZ</w:t>
            </w:r>
          </w:p>
        </w:tc>
        <w:tc>
          <w:tcPr>
            <w:tcW w:w="1316" w:type="dxa"/>
            <w:tcBorders>
              <w:bottom w:val="single" w:sz="4" w:space="0" w:color="auto"/>
            </w:tcBorders>
            <w:vAlign w:val="center"/>
          </w:tcPr>
          <w:p w:rsidR="00B2688E" w:rsidRPr="00D50E91" w:rsidRDefault="00B2688E" w:rsidP="00B2688E">
            <w:pPr>
              <w:jc w:val="center"/>
              <w:rPr>
                <w:sz w:val="20"/>
                <w:szCs w:val="20"/>
              </w:rPr>
            </w:pPr>
            <w:r w:rsidRPr="00D50E91">
              <w:rPr>
                <w:sz w:val="20"/>
                <w:szCs w:val="20"/>
              </w:rPr>
              <w:t>NSZ</w:t>
            </w:r>
          </w:p>
        </w:tc>
        <w:tc>
          <w:tcPr>
            <w:tcW w:w="1316" w:type="dxa"/>
            <w:vAlign w:val="center"/>
          </w:tcPr>
          <w:p w:rsidR="00B2688E" w:rsidRPr="00D50E91" w:rsidRDefault="00B2688E" w:rsidP="00B2688E">
            <w:pPr>
              <w:jc w:val="center"/>
              <w:rPr>
                <w:sz w:val="20"/>
                <w:szCs w:val="20"/>
              </w:rPr>
            </w:pPr>
            <w:r w:rsidRPr="00D50E91">
              <w:rPr>
                <w:sz w:val="20"/>
                <w:szCs w:val="20"/>
              </w:rPr>
              <w:t>RSZ</w:t>
            </w:r>
          </w:p>
        </w:tc>
      </w:tr>
      <w:tr w:rsidR="00B2688E" w:rsidRPr="00D50E91" w:rsidTr="00B2688E">
        <w:tc>
          <w:tcPr>
            <w:tcW w:w="1327" w:type="dxa"/>
          </w:tcPr>
          <w:p w:rsidR="00B2688E" w:rsidRPr="00D50E91" w:rsidRDefault="002C013D" w:rsidP="00B2688E">
            <w:pPr>
              <w:jc w:val="center"/>
              <w:rPr>
                <w:sz w:val="20"/>
                <w:szCs w:val="20"/>
              </w:rPr>
            </w:pPr>
            <w:r w:rsidRPr="00D50E91">
              <w:rPr>
                <w:sz w:val="20"/>
                <w:szCs w:val="20"/>
              </w:rPr>
              <w:t xml:space="preserve"> </w:t>
            </w:r>
            <w:r w:rsidR="00B2688E" w:rsidRPr="00D50E91">
              <w:rPr>
                <w:sz w:val="20"/>
                <w:szCs w:val="20"/>
              </w:rPr>
              <w:t>3</w:t>
            </w:r>
          </w:p>
        </w:tc>
        <w:tc>
          <w:tcPr>
            <w:tcW w:w="1327" w:type="dxa"/>
            <w:vMerge/>
            <w:shd w:val="clear" w:color="auto" w:fill="auto"/>
          </w:tcPr>
          <w:p w:rsidR="00B2688E" w:rsidRPr="00D50E91" w:rsidRDefault="00B2688E" w:rsidP="00B2688E">
            <w:pPr>
              <w:jc w:val="center"/>
              <w:rPr>
                <w:sz w:val="20"/>
                <w:szCs w:val="20"/>
              </w:rPr>
            </w:pPr>
          </w:p>
        </w:tc>
        <w:tc>
          <w:tcPr>
            <w:tcW w:w="1316" w:type="dxa"/>
          </w:tcPr>
          <w:p w:rsidR="00B2688E" w:rsidRPr="00D50E91" w:rsidRDefault="00B2688E" w:rsidP="00B2688E">
            <w:pPr>
              <w:rPr>
                <w:sz w:val="20"/>
                <w:szCs w:val="20"/>
              </w:rPr>
            </w:pPr>
          </w:p>
        </w:tc>
        <w:tc>
          <w:tcPr>
            <w:tcW w:w="1316" w:type="dxa"/>
            <w:tcBorders>
              <w:right w:val="single" w:sz="4" w:space="0" w:color="auto"/>
            </w:tcBorders>
          </w:tcPr>
          <w:p w:rsidR="00B2688E" w:rsidRPr="00D50E91" w:rsidRDefault="00B2688E" w:rsidP="00B2688E">
            <w:pPr>
              <w:jc w:val="center"/>
              <w:rPr>
                <w:bCs/>
                <w:sz w:val="20"/>
                <w:szCs w:val="20"/>
              </w:rPr>
            </w:pPr>
            <w:r w:rsidRPr="00D50E91">
              <w:rPr>
                <w:bCs/>
                <w:sz w:val="20"/>
                <w:szCs w:val="20"/>
              </w:rPr>
              <w:t>IIA</w:t>
            </w:r>
          </w:p>
          <w:p w:rsidR="00B2688E" w:rsidRPr="00D50E91" w:rsidRDefault="00B2688E" w:rsidP="00B2688E">
            <w:pPr>
              <w:jc w:val="center"/>
              <w:rPr>
                <w:sz w:val="20"/>
                <w:szCs w:val="20"/>
              </w:rPr>
            </w:pPr>
            <w:r w:rsidRPr="00D50E91">
              <w:rPr>
                <w:bCs/>
                <w:sz w:val="20"/>
                <w:szCs w:val="20"/>
              </w:rPr>
              <w:t>IIB</w:t>
            </w:r>
          </w:p>
        </w:tc>
        <w:tc>
          <w:tcPr>
            <w:tcW w:w="1316" w:type="dxa"/>
            <w:tcBorders>
              <w:left w:val="single" w:sz="4" w:space="0" w:color="auto"/>
            </w:tcBorders>
          </w:tcPr>
          <w:p w:rsidR="00B2688E" w:rsidRPr="00D50E91" w:rsidRDefault="00B2688E" w:rsidP="00B2688E">
            <w:pPr>
              <w:jc w:val="center"/>
              <w:rPr>
                <w:bCs/>
                <w:sz w:val="20"/>
                <w:szCs w:val="20"/>
              </w:rPr>
            </w:pPr>
          </w:p>
          <w:p w:rsidR="00B2688E" w:rsidRPr="00D50E91" w:rsidRDefault="00B2688E" w:rsidP="00B2688E">
            <w:pPr>
              <w:jc w:val="center"/>
              <w:rPr>
                <w:sz w:val="20"/>
                <w:szCs w:val="20"/>
              </w:rPr>
            </w:pPr>
            <w:r w:rsidRPr="00D50E91">
              <w:rPr>
                <w:bCs/>
                <w:sz w:val="20"/>
                <w:szCs w:val="20"/>
              </w:rPr>
              <w:t>IIC</w:t>
            </w:r>
          </w:p>
        </w:tc>
      </w:tr>
      <w:tr w:rsidR="00B2688E" w:rsidRPr="00D50E91" w:rsidTr="00B2688E">
        <w:tc>
          <w:tcPr>
            <w:tcW w:w="1327" w:type="dxa"/>
          </w:tcPr>
          <w:p w:rsidR="00B2688E" w:rsidRPr="00D50E91" w:rsidRDefault="002C013D" w:rsidP="00B2688E">
            <w:pPr>
              <w:jc w:val="center"/>
              <w:rPr>
                <w:sz w:val="20"/>
                <w:szCs w:val="20"/>
              </w:rPr>
            </w:pPr>
            <w:r w:rsidRPr="00D50E91">
              <w:rPr>
                <w:sz w:val="20"/>
                <w:szCs w:val="20"/>
              </w:rPr>
              <w:lastRenderedPageBreak/>
              <w:t xml:space="preserve"> </w:t>
            </w:r>
            <w:r w:rsidR="00B2688E" w:rsidRPr="00D50E91">
              <w:rPr>
                <w:sz w:val="20"/>
                <w:szCs w:val="20"/>
              </w:rPr>
              <w:t>4</w:t>
            </w:r>
          </w:p>
        </w:tc>
        <w:tc>
          <w:tcPr>
            <w:tcW w:w="1327" w:type="dxa"/>
            <w:vMerge/>
          </w:tcPr>
          <w:p w:rsidR="00B2688E" w:rsidRPr="00D50E91" w:rsidRDefault="00B2688E" w:rsidP="00B2688E">
            <w:pPr>
              <w:jc w:val="center"/>
              <w:rPr>
                <w:sz w:val="20"/>
                <w:szCs w:val="20"/>
              </w:rPr>
            </w:pPr>
          </w:p>
        </w:tc>
        <w:tc>
          <w:tcPr>
            <w:tcW w:w="3948" w:type="dxa"/>
            <w:gridSpan w:val="3"/>
            <w:vAlign w:val="center"/>
          </w:tcPr>
          <w:p w:rsidR="00B2688E" w:rsidRPr="00D50E91" w:rsidRDefault="00B2688E" w:rsidP="00B2688E">
            <w:pPr>
              <w:jc w:val="center"/>
              <w:rPr>
                <w:b/>
                <w:sz w:val="20"/>
                <w:szCs w:val="20"/>
              </w:rPr>
            </w:pPr>
            <w:r w:rsidRPr="00D50E91">
              <w:rPr>
                <w:b/>
                <w:sz w:val="20"/>
                <w:szCs w:val="20"/>
              </w:rPr>
              <w:t>Levezetési ellenállás értéke (RLE)</w:t>
            </w:r>
          </w:p>
        </w:tc>
      </w:tr>
      <w:tr w:rsidR="00B2688E" w:rsidRPr="00D50E91" w:rsidTr="00B2688E">
        <w:tc>
          <w:tcPr>
            <w:tcW w:w="1327" w:type="dxa"/>
          </w:tcPr>
          <w:p w:rsidR="00B2688E" w:rsidRPr="00D50E91" w:rsidRDefault="002C013D" w:rsidP="00B2688E">
            <w:pPr>
              <w:jc w:val="center"/>
              <w:rPr>
                <w:sz w:val="20"/>
                <w:szCs w:val="20"/>
              </w:rPr>
            </w:pPr>
            <w:r w:rsidRPr="00D50E91">
              <w:rPr>
                <w:sz w:val="20"/>
                <w:szCs w:val="20"/>
              </w:rPr>
              <w:lastRenderedPageBreak/>
              <w:t xml:space="preserve"> </w:t>
            </w:r>
            <w:r w:rsidR="00B2688E" w:rsidRPr="00D50E91">
              <w:rPr>
                <w:sz w:val="20"/>
                <w:szCs w:val="20"/>
              </w:rPr>
              <w:t>5</w:t>
            </w:r>
          </w:p>
        </w:tc>
        <w:tc>
          <w:tcPr>
            <w:tcW w:w="1327" w:type="dxa"/>
          </w:tcPr>
          <w:p w:rsidR="00B2688E" w:rsidRPr="00D50E91" w:rsidRDefault="00270DBE" w:rsidP="00B2688E">
            <w:pPr>
              <w:jc w:val="center"/>
              <w:rPr>
                <w:sz w:val="20"/>
                <w:szCs w:val="20"/>
              </w:rPr>
            </w:pPr>
            <w:r w:rsidRPr="00D50E91">
              <w:rPr>
                <w:sz w:val="20"/>
                <w:szCs w:val="20"/>
              </w:rPr>
              <w:t>E</w:t>
            </w:r>
            <w:r w:rsidR="00B2688E" w:rsidRPr="00D50E91">
              <w:rPr>
                <w:sz w:val="20"/>
                <w:szCs w:val="20"/>
              </w:rPr>
              <w:t>mberi test</w:t>
            </w:r>
          </w:p>
        </w:tc>
        <w:tc>
          <w:tcPr>
            <w:tcW w:w="1316" w:type="dxa"/>
            <w:vAlign w:val="center"/>
          </w:tcPr>
          <w:p w:rsidR="00B2688E" w:rsidRPr="00D50E91" w:rsidRDefault="00B2688E" w:rsidP="00B2688E">
            <w:pPr>
              <w:jc w:val="center"/>
              <w:rPr>
                <w:sz w:val="20"/>
                <w:szCs w:val="20"/>
              </w:rPr>
            </w:pPr>
            <w:r w:rsidRPr="00D50E91">
              <w:rPr>
                <w:sz w:val="20"/>
                <w:szCs w:val="20"/>
              </w:rPr>
              <w:t>160 MΩ</w:t>
            </w:r>
          </w:p>
        </w:tc>
        <w:tc>
          <w:tcPr>
            <w:tcW w:w="1316" w:type="dxa"/>
            <w:vAlign w:val="center"/>
          </w:tcPr>
          <w:p w:rsidR="00B2688E" w:rsidRPr="00D50E91" w:rsidRDefault="00B2688E" w:rsidP="00B2688E">
            <w:pPr>
              <w:jc w:val="center"/>
              <w:rPr>
                <w:sz w:val="20"/>
                <w:szCs w:val="20"/>
              </w:rPr>
            </w:pPr>
            <w:r w:rsidRPr="00D50E91">
              <w:rPr>
                <w:sz w:val="20"/>
                <w:szCs w:val="20"/>
              </w:rPr>
              <w:t>100 MΩ</w:t>
            </w:r>
          </w:p>
        </w:tc>
        <w:tc>
          <w:tcPr>
            <w:tcW w:w="1316" w:type="dxa"/>
            <w:vAlign w:val="center"/>
          </w:tcPr>
          <w:p w:rsidR="00B2688E" w:rsidRPr="00D50E91" w:rsidRDefault="00B2688E" w:rsidP="00B2688E">
            <w:pPr>
              <w:jc w:val="center"/>
              <w:rPr>
                <w:sz w:val="20"/>
                <w:szCs w:val="20"/>
              </w:rPr>
            </w:pPr>
            <w:r w:rsidRPr="00D50E91">
              <w:rPr>
                <w:sz w:val="20"/>
                <w:szCs w:val="20"/>
              </w:rPr>
              <w:t>80 MΩ</w:t>
            </w:r>
          </w:p>
        </w:tc>
      </w:tr>
      <w:tr w:rsidR="00B2688E" w:rsidRPr="00D50E91" w:rsidTr="00B2688E">
        <w:tc>
          <w:tcPr>
            <w:tcW w:w="1327" w:type="dxa"/>
          </w:tcPr>
          <w:p w:rsidR="00B2688E" w:rsidRPr="00D50E91" w:rsidRDefault="002C013D" w:rsidP="00B2688E">
            <w:pPr>
              <w:jc w:val="center"/>
              <w:rPr>
                <w:sz w:val="20"/>
                <w:szCs w:val="20"/>
              </w:rPr>
            </w:pPr>
            <w:r w:rsidRPr="00D50E91">
              <w:rPr>
                <w:sz w:val="20"/>
                <w:szCs w:val="20"/>
              </w:rPr>
              <w:t xml:space="preserve"> </w:t>
            </w:r>
            <w:r w:rsidR="00B2688E" w:rsidRPr="00D50E91">
              <w:rPr>
                <w:sz w:val="20"/>
                <w:szCs w:val="20"/>
              </w:rPr>
              <w:t>6</w:t>
            </w:r>
          </w:p>
        </w:tc>
        <w:tc>
          <w:tcPr>
            <w:tcW w:w="1327" w:type="dxa"/>
          </w:tcPr>
          <w:p w:rsidR="00B2688E" w:rsidRPr="00D50E91" w:rsidRDefault="00270DBE" w:rsidP="00B2688E">
            <w:pPr>
              <w:jc w:val="center"/>
              <w:rPr>
                <w:sz w:val="20"/>
                <w:szCs w:val="20"/>
              </w:rPr>
            </w:pPr>
            <w:r w:rsidRPr="00D50E91">
              <w:rPr>
                <w:sz w:val="20"/>
                <w:szCs w:val="20"/>
              </w:rPr>
              <w:t>K</w:t>
            </w:r>
            <w:r w:rsidR="00B2688E" w:rsidRPr="00D50E91">
              <w:rPr>
                <w:sz w:val="20"/>
                <w:szCs w:val="20"/>
              </w:rPr>
              <w:t>is jármű</w:t>
            </w:r>
          </w:p>
        </w:tc>
        <w:tc>
          <w:tcPr>
            <w:tcW w:w="1316" w:type="dxa"/>
            <w:vAlign w:val="center"/>
          </w:tcPr>
          <w:p w:rsidR="00B2688E" w:rsidRPr="00D50E91" w:rsidRDefault="00B2688E" w:rsidP="00B2688E">
            <w:pPr>
              <w:jc w:val="center"/>
              <w:rPr>
                <w:sz w:val="20"/>
                <w:szCs w:val="20"/>
              </w:rPr>
            </w:pPr>
            <w:r w:rsidRPr="00D50E91">
              <w:rPr>
                <w:sz w:val="20"/>
                <w:szCs w:val="20"/>
              </w:rPr>
              <w:t>15 MΩ</w:t>
            </w:r>
          </w:p>
        </w:tc>
        <w:tc>
          <w:tcPr>
            <w:tcW w:w="1316" w:type="dxa"/>
            <w:vAlign w:val="center"/>
          </w:tcPr>
          <w:p w:rsidR="00B2688E" w:rsidRPr="00D50E91" w:rsidRDefault="00B2688E" w:rsidP="00B2688E">
            <w:pPr>
              <w:jc w:val="center"/>
              <w:rPr>
                <w:sz w:val="20"/>
                <w:szCs w:val="20"/>
              </w:rPr>
            </w:pPr>
            <w:r w:rsidRPr="00D50E91">
              <w:rPr>
                <w:sz w:val="20"/>
                <w:szCs w:val="20"/>
              </w:rPr>
              <w:t>10 MΩ</w:t>
            </w:r>
          </w:p>
        </w:tc>
        <w:tc>
          <w:tcPr>
            <w:tcW w:w="1316" w:type="dxa"/>
            <w:vAlign w:val="center"/>
          </w:tcPr>
          <w:p w:rsidR="00B2688E" w:rsidRPr="00D50E91" w:rsidRDefault="00B2688E" w:rsidP="00B2688E">
            <w:pPr>
              <w:jc w:val="center"/>
              <w:rPr>
                <w:sz w:val="20"/>
                <w:szCs w:val="20"/>
              </w:rPr>
            </w:pPr>
            <w:r w:rsidRPr="00D50E91">
              <w:rPr>
                <w:sz w:val="20"/>
                <w:szCs w:val="20"/>
              </w:rPr>
              <w:t>5 MΩ</w:t>
            </w:r>
          </w:p>
        </w:tc>
      </w:tr>
      <w:tr w:rsidR="00B2688E" w:rsidRPr="00D50E91" w:rsidTr="00B2688E">
        <w:tc>
          <w:tcPr>
            <w:tcW w:w="1327" w:type="dxa"/>
          </w:tcPr>
          <w:p w:rsidR="00B2688E" w:rsidRPr="00D50E91" w:rsidRDefault="002C013D" w:rsidP="00B2688E">
            <w:pPr>
              <w:jc w:val="center"/>
              <w:rPr>
                <w:sz w:val="20"/>
                <w:szCs w:val="20"/>
              </w:rPr>
            </w:pPr>
            <w:r w:rsidRPr="00D50E91">
              <w:rPr>
                <w:sz w:val="20"/>
                <w:szCs w:val="20"/>
              </w:rPr>
              <w:t xml:space="preserve"> </w:t>
            </w:r>
            <w:r w:rsidR="00B2688E" w:rsidRPr="00D50E91">
              <w:rPr>
                <w:sz w:val="20"/>
                <w:szCs w:val="20"/>
              </w:rPr>
              <w:t>7</w:t>
            </w:r>
          </w:p>
        </w:tc>
        <w:tc>
          <w:tcPr>
            <w:tcW w:w="1327" w:type="dxa"/>
          </w:tcPr>
          <w:p w:rsidR="00B2688E" w:rsidRPr="00D50E91" w:rsidRDefault="00270DBE" w:rsidP="00B2688E">
            <w:pPr>
              <w:jc w:val="center"/>
              <w:rPr>
                <w:sz w:val="20"/>
                <w:szCs w:val="20"/>
              </w:rPr>
            </w:pPr>
            <w:r w:rsidRPr="00D50E91">
              <w:rPr>
                <w:sz w:val="20"/>
                <w:szCs w:val="20"/>
              </w:rPr>
              <w:t>N</w:t>
            </w:r>
            <w:r w:rsidR="00B2688E" w:rsidRPr="00D50E91">
              <w:rPr>
                <w:sz w:val="20"/>
                <w:szCs w:val="20"/>
              </w:rPr>
              <w:t>agy jármű</w:t>
            </w:r>
          </w:p>
        </w:tc>
        <w:tc>
          <w:tcPr>
            <w:tcW w:w="1316" w:type="dxa"/>
            <w:vAlign w:val="center"/>
          </w:tcPr>
          <w:p w:rsidR="00B2688E" w:rsidRPr="00D50E91" w:rsidRDefault="00B2688E" w:rsidP="00B2688E">
            <w:pPr>
              <w:jc w:val="center"/>
              <w:rPr>
                <w:sz w:val="20"/>
                <w:szCs w:val="20"/>
              </w:rPr>
            </w:pPr>
            <w:r w:rsidRPr="00D50E91">
              <w:rPr>
                <w:sz w:val="20"/>
                <w:szCs w:val="20"/>
              </w:rPr>
              <w:t>6 MΩ</w:t>
            </w:r>
          </w:p>
        </w:tc>
        <w:tc>
          <w:tcPr>
            <w:tcW w:w="1316" w:type="dxa"/>
            <w:vAlign w:val="center"/>
          </w:tcPr>
          <w:p w:rsidR="00B2688E" w:rsidRPr="00D50E91" w:rsidRDefault="00B2688E" w:rsidP="00B2688E">
            <w:pPr>
              <w:jc w:val="center"/>
              <w:rPr>
                <w:sz w:val="20"/>
                <w:szCs w:val="20"/>
              </w:rPr>
            </w:pPr>
            <w:r w:rsidRPr="00D50E91">
              <w:rPr>
                <w:sz w:val="20"/>
                <w:szCs w:val="20"/>
              </w:rPr>
              <w:t>3 MΩ</w:t>
            </w:r>
          </w:p>
        </w:tc>
        <w:tc>
          <w:tcPr>
            <w:tcW w:w="1316" w:type="dxa"/>
            <w:vAlign w:val="center"/>
          </w:tcPr>
          <w:p w:rsidR="00B2688E" w:rsidRPr="00D50E91" w:rsidRDefault="00B2688E" w:rsidP="00B2688E">
            <w:pPr>
              <w:jc w:val="center"/>
              <w:rPr>
                <w:sz w:val="20"/>
                <w:szCs w:val="20"/>
              </w:rPr>
            </w:pPr>
            <w:r w:rsidRPr="00D50E91">
              <w:rPr>
                <w:sz w:val="20"/>
                <w:szCs w:val="20"/>
              </w:rPr>
              <w:t>1 MΩ</w:t>
            </w:r>
          </w:p>
        </w:tc>
      </w:tr>
    </w:tbl>
    <w:p w:rsidR="005B415B" w:rsidRPr="00D50E91" w:rsidRDefault="005B415B" w:rsidP="00595B18">
      <w:pPr>
        <w:jc w:val="both"/>
      </w:pPr>
    </w:p>
    <w:p w:rsidR="00516F81" w:rsidRPr="00D50E91" w:rsidRDefault="00516F81" w:rsidP="00516F81">
      <w:pPr>
        <w:jc w:val="both"/>
        <w:rPr>
          <w:sz w:val="20"/>
          <w:szCs w:val="20"/>
        </w:rPr>
      </w:pPr>
    </w:p>
    <w:p w:rsidR="00B2688E" w:rsidRPr="00D50E91" w:rsidRDefault="00B2688E" w:rsidP="00516F81">
      <w:pPr>
        <w:rPr>
          <w:sz w:val="20"/>
          <w:szCs w:val="20"/>
        </w:rPr>
      </w:pPr>
    </w:p>
    <w:p w:rsidR="00270DBE" w:rsidRPr="00D50E91" w:rsidRDefault="00270DBE" w:rsidP="00516F81">
      <w:pPr>
        <w:rPr>
          <w:sz w:val="20"/>
          <w:szCs w:val="20"/>
        </w:rPr>
      </w:pPr>
    </w:p>
    <w:p w:rsidR="00B2688E" w:rsidRPr="00D50E91" w:rsidRDefault="00B2688E" w:rsidP="00B2688E">
      <w:pPr>
        <w:rPr>
          <w:sz w:val="20"/>
          <w:szCs w:val="20"/>
        </w:rPr>
      </w:pPr>
      <w:r w:rsidRPr="00D50E91">
        <w:rPr>
          <w:sz w:val="20"/>
          <w:szCs w:val="20"/>
        </w:rPr>
        <w:t>RLE: levezetési ellenállás értéke (MΩ)</w:t>
      </w:r>
    </w:p>
    <w:p w:rsidR="00B2688E" w:rsidRPr="00D50E91" w:rsidRDefault="00B2688E" w:rsidP="00B2688E">
      <w:pPr>
        <w:rPr>
          <w:sz w:val="20"/>
          <w:szCs w:val="20"/>
        </w:rPr>
      </w:pPr>
      <w:r w:rsidRPr="00D50E91">
        <w:rPr>
          <w:sz w:val="20"/>
          <w:szCs w:val="20"/>
        </w:rPr>
        <w:t>RSZ: Rendkívül nagy szikraérzékenység (0,1 mJ –nál kisebb minimális gyújtási energia (MIE))</w:t>
      </w:r>
    </w:p>
    <w:p w:rsidR="00B2688E" w:rsidRPr="00D50E91" w:rsidRDefault="00B2688E" w:rsidP="00B2688E">
      <w:pPr>
        <w:rPr>
          <w:sz w:val="20"/>
          <w:szCs w:val="20"/>
        </w:rPr>
      </w:pPr>
      <w:r w:rsidRPr="00D50E91">
        <w:rPr>
          <w:sz w:val="20"/>
          <w:szCs w:val="20"/>
        </w:rPr>
        <w:t>NSZ: Nagy szikraérzékenység (0,1 mJ és annál nagyobb, de 4 mJ –nál kisebb MIE)</w:t>
      </w:r>
    </w:p>
    <w:p w:rsidR="00B2688E" w:rsidRPr="00D50E91" w:rsidRDefault="00B2688E" w:rsidP="00B2688E">
      <w:pPr>
        <w:rPr>
          <w:sz w:val="20"/>
          <w:szCs w:val="20"/>
        </w:rPr>
      </w:pPr>
      <w:r w:rsidRPr="00D50E91">
        <w:rPr>
          <w:sz w:val="20"/>
          <w:szCs w:val="20"/>
        </w:rPr>
        <w:t>ÁSZ: Átlagos szikraérzékenység (4 mJ és annál nagyobb, de 20 mJ –nál kisebb MIE)</w:t>
      </w:r>
    </w:p>
    <w:p w:rsidR="00B2688E" w:rsidRPr="00D50E91" w:rsidRDefault="00B2688E" w:rsidP="00B2688E">
      <w:pPr>
        <w:rPr>
          <w:sz w:val="20"/>
          <w:szCs w:val="20"/>
        </w:rPr>
      </w:pPr>
      <w:r w:rsidRPr="00D50E91">
        <w:rPr>
          <w:sz w:val="20"/>
          <w:szCs w:val="20"/>
        </w:rPr>
        <w:t>IIA, IIB, IIC: a robbanásveszélyt okozó anyag gázcsoportja (ATEX)</w:t>
      </w:r>
    </w:p>
    <w:p w:rsidR="00B2688E" w:rsidRPr="00D50E91" w:rsidRDefault="00B2688E" w:rsidP="00B2688E">
      <w:pPr>
        <w:rPr>
          <w:sz w:val="20"/>
          <w:szCs w:val="20"/>
        </w:rPr>
      </w:pPr>
      <w:r w:rsidRPr="00D50E91">
        <w:rPr>
          <w:sz w:val="20"/>
          <w:szCs w:val="20"/>
        </w:rPr>
        <w:t>Porok esetében a porok MIE értéke határozza meg a szükséges levezetési ellenállás értéket.</w:t>
      </w:r>
    </w:p>
    <w:p w:rsidR="00B2688E" w:rsidRPr="00D50E91" w:rsidRDefault="00270DBE" w:rsidP="00B2688E">
      <w:pPr>
        <w:rPr>
          <w:sz w:val="20"/>
          <w:szCs w:val="20"/>
        </w:rPr>
      </w:pPr>
      <w:r w:rsidRPr="00D50E91">
        <w:rPr>
          <w:sz w:val="20"/>
          <w:szCs w:val="20"/>
        </w:rPr>
        <w:t>K</w:t>
      </w:r>
      <w:r w:rsidR="00B2688E" w:rsidRPr="00D50E91">
        <w:rPr>
          <w:sz w:val="20"/>
          <w:szCs w:val="20"/>
        </w:rPr>
        <w:t>is jármű: a belső térben használatos kis teherbírású elektromos targonca, vagy annál kisebb jármű, vagy eszköz, ilyen lehet a kézi irányítású elektromos béka, kerékpár, kerekes guruló asztal.</w:t>
      </w:r>
    </w:p>
    <w:p w:rsidR="005B415B" w:rsidRPr="00D50E91" w:rsidRDefault="00270DBE" w:rsidP="00B2688E">
      <w:r w:rsidRPr="00D50E91">
        <w:rPr>
          <w:sz w:val="20"/>
          <w:szCs w:val="20"/>
        </w:rPr>
        <w:t>N</w:t>
      </w:r>
      <w:r w:rsidR="00B2688E" w:rsidRPr="00D50E91">
        <w:rPr>
          <w:sz w:val="20"/>
          <w:szCs w:val="20"/>
        </w:rPr>
        <w:t>agy jármű: a belsőtérben használatos elektromos targoncánál nagyobb jármű, ilyen lehet a nagy teherbírású targonca, tehergépjármű, tartálykocsi.</w:t>
      </w:r>
    </w:p>
    <w:p w:rsidR="005B415B" w:rsidRPr="00D50E91" w:rsidRDefault="005B415B">
      <w:pPr>
        <w:spacing w:after="200" w:line="276" w:lineRule="auto"/>
      </w:pPr>
      <w:r w:rsidRPr="00D50E91">
        <w:br w:type="page"/>
      </w:r>
    </w:p>
    <w:p w:rsidR="005B415B" w:rsidRPr="00D50E91" w:rsidRDefault="005B415B" w:rsidP="00282674">
      <w:pPr>
        <w:autoSpaceDE w:val="0"/>
        <w:autoSpaceDN w:val="0"/>
        <w:adjustRightInd w:val="0"/>
        <w:jc w:val="right"/>
        <w:rPr>
          <w:i/>
        </w:rPr>
      </w:pPr>
      <w:r w:rsidRPr="00D50E91">
        <w:rPr>
          <w:i/>
        </w:rPr>
        <w:lastRenderedPageBreak/>
        <w:t>9. melléklet a …./2018. (……) BM rendelethez</w:t>
      </w:r>
    </w:p>
    <w:p w:rsidR="005B415B" w:rsidRPr="00D50E91" w:rsidRDefault="005B415B" w:rsidP="00282674">
      <w:pPr>
        <w:jc w:val="both"/>
      </w:pPr>
    </w:p>
    <w:p w:rsidR="005B415B" w:rsidRPr="00D50E91" w:rsidRDefault="005B415B" w:rsidP="00270DBE">
      <w:pPr>
        <w:pStyle w:val="Szvegtrzs"/>
        <w:spacing w:after="0"/>
        <w:rPr>
          <w:i/>
        </w:rPr>
      </w:pPr>
      <w:r w:rsidRPr="00D50E91">
        <w:rPr>
          <w:i/>
        </w:rPr>
        <w:t>14. melléklet az 54/2014. (XII. 5.) BM rendelethez</w:t>
      </w:r>
    </w:p>
    <w:p w:rsidR="005B415B" w:rsidRPr="00D50E91" w:rsidRDefault="005B415B" w:rsidP="00282674">
      <w:pPr>
        <w:jc w:val="both"/>
      </w:pPr>
    </w:p>
    <w:p w:rsidR="005B415B" w:rsidRPr="00D50E91" w:rsidRDefault="005B415B" w:rsidP="00282674">
      <w:pPr>
        <w:jc w:val="both"/>
        <w:rPr>
          <w:b/>
          <w:sz w:val="20"/>
          <w:szCs w:val="20"/>
        </w:rPr>
      </w:pPr>
      <w:r w:rsidRPr="00D50E91">
        <w:rPr>
          <w:b/>
          <w:sz w:val="20"/>
          <w:szCs w:val="20"/>
        </w:rPr>
        <w:t>1. táblázat, a Beépített tűzjelző és tűzoltó berendezések közös szabályai fejezethez</w:t>
      </w:r>
    </w:p>
    <w:p w:rsidR="005B415B" w:rsidRPr="00D50E91" w:rsidRDefault="005B415B" w:rsidP="00282674">
      <w:pPr>
        <w:jc w:val="both"/>
      </w:pPr>
    </w:p>
    <w:p w:rsidR="005B415B" w:rsidRPr="00D50E91" w:rsidRDefault="005B415B" w:rsidP="00896930">
      <w:pPr>
        <w:ind w:right="5104"/>
        <w:jc w:val="center"/>
        <w:rPr>
          <w:i/>
          <w:sz w:val="20"/>
          <w:szCs w:val="20"/>
        </w:rPr>
      </w:pPr>
      <w:r w:rsidRPr="00D50E91">
        <w:rPr>
          <w:i/>
          <w:sz w:val="20"/>
          <w:szCs w:val="20"/>
        </w:rPr>
        <w:t>Beépített tűzjelző berendezés, beépített tűzoltó berendezés létesítési kötelezettsége</w:t>
      </w:r>
    </w:p>
    <w:tbl>
      <w:tblPr>
        <w:tblW w:w="0" w:type="auto"/>
        <w:tblInd w:w="5" w:type="dxa"/>
        <w:tblLayout w:type="fixed"/>
        <w:tblCellMar>
          <w:left w:w="0" w:type="dxa"/>
          <w:right w:w="0" w:type="dxa"/>
        </w:tblCellMar>
        <w:tblLook w:val="0000" w:firstRow="0" w:lastRow="0" w:firstColumn="0" w:lastColumn="0" w:noHBand="0" w:noVBand="0"/>
      </w:tblPr>
      <w:tblGrid>
        <w:gridCol w:w="560"/>
        <w:gridCol w:w="4534"/>
        <w:gridCol w:w="1134"/>
        <w:gridCol w:w="1134"/>
        <w:gridCol w:w="1134"/>
        <w:gridCol w:w="1134"/>
      </w:tblGrid>
      <w:tr w:rsidR="005B415B" w:rsidRPr="00D50E91" w:rsidTr="001130CB">
        <w:tc>
          <w:tcPr>
            <w:tcW w:w="560"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p>
        </w:tc>
        <w:tc>
          <w:tcPr>
            <w:tcW w:w="4534" w:type="dxa"/>
            <w:tcBorders>
              <w:top w:val="single" w:sz="4" w:space="0" w:color="auto"/>
              <w:left w:val="single" w:sz="4" w:space="0" w:color="auto"/>
              <w:bottom w:val="single" w:sz="4" w:space="0" w:color="auto"/>
              <w:right w:val="single" w:sz="4" w:space="0" w:color="auto"/>
            </w:tcBorders>
          </w:tcPr>
          <w:p w:rsidR="005B415B" w:rsidRPr="00D50E91" w:rsidRDefault="005B415B" w:rsidP="00270DBE">
            <w:pPr>
              <w:autoSpaceDE w:val="0"/>
              <w:autoSpaceDN w:val="0"/>
              <w:adjustRightInd w:val="0"/>
              <w:ind w:left="56" w:right="56"/>
              <w:jc w:val="center"/>
              <w:rPr>
                <w:sz w:val="20"/>
                <w:szCs w:val="20"/>
              </w:rPr>
            </w:pPr>
            <w:r w:rsidRPr="00D50E91">
              <w:rPr>
                <w:sz w:val="20"/>
                <w:szCs w:val="20"/>
              </w:rPr>
              <w:t xml:space="preserve"> </w:t>
            </w:r>
            <w:r w:rsidR="00270DBE" w:rsidRPr="00D50E91">
              <w:rPr>
                <w:sz w:val="20"/>
                <w:szCs w:val="20"/>
              </w:rPr>
              <w:t>A</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270DBE">
            <w:pPr>
              <w:autoSpaceDE w:val="0"/>
              <w:autoSpaceDN w:val="0"/>
              <w:adjustRightInd w:val="0"/>
              <w:ind w:left="56" w:right="56"/>
              <w:jc w:val="center"/>
              <w:rPr>
                <w:sz w:val="20"/>
                <w:szCs w:val="20"/>
              </w:rPr>
            </w:pPr>
            <w:r w:rsidRPr="00D50E91">
              <w:rPr>
                <w:sz w:val="20"/>
                <w:szCs w:val="20"/>
              </w:rPr>
              <w:t xml:space="preserve"> </w:t>
            </w:r>
            <w:r w:rsidR="00270DBE" w:rsidRPr="00D50E91">
              <w:rPr>
                <w:sz w:val="20"/>
                <w:szCs w:val="20"/>
              </w:rPr>
              <w:t>B</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270DBE">
            <w:pPr>
              <w:autoSpaceDE w:val="0"/>
              <w:autoSpaceDN w:val="0"/>
              <w:adjustRightInd w:val="0"/>
              <w:ind w:left="56" w:right="56"/>
              <w:jc w:val="center"/>
              <w:rPr>
                <w:sz w:val="20"/>
                <w:szCs w:val="20"/>
              </w:rPr>
            </w:pPr>
            <w:r w:rsidRPr="00D50E91">
              <w:rPr>
                <w:sz w:val="20"/>
                <w:szCs w:val="20"/>
              </w:rPr>
              <w:t xml:space="preserve"> </w:t>
            </w:r>
            <w:r w:rsidR="00270DBE" w:rsidRPr="00D50E91">
              <w:rPr>
                <w:sz w:val="20"/>
                <w:szCs w:val="20"/>
              </w:rPr>
              <w:t>C</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270DBE">
            <w:pPr>
              <w:autoSpaceDE w:val="0"/>
              <w:autoSpaceDN w:val="0"/>
              <w:adjustRightInd w:val="0"/>
              <w:ind w:left="56" w:right="56"/>
              <w:jc w:val="center"/>
              <w:rPr>
                <w:sz w:val="20"/>
                <w:szCs w:val="20"/>
              </w:rPr>
            </w:pPr>
            <w:r w:rsidRPr="00D50E91">
              <w:rPr>
                <w:sz w:val="20"/>
                <w:szCs w:val="20"/>
              </w:rPr>
              <w:t xml:space="preserve"> </w:t>
            </w:r>
            <w:r w:rsidR="00270DBE" w:rsidRPr="00D50E91">
              <w:rPr>
                <w:sz w:val="20"/>
                <w:szCs w:val="20"/>
              </w:rPr>
              <w:t>D</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270DBE">
            <w:pPr>
              <w:autoSpaceDE w:val="0"/>
              <w:autoSpaceDN w:val="0"/>
              <w:adjustRightInd w:val="0"/>
              <w:ind w:left="56" w:right="56"/>
              <w:jc w:val="center"/>
              <w:rPr>
                <w:sz w:val="20"/>
                <w:szCs w:val="20"/>
              </w:rPr>
            </w:pPr>
            <w:r w:rsidRPr="00D50E91">
              <w:rPr>
                <w:sz w:val="20"/>
                <w:szCs w:val="20"/>
              </w:rPr>
              <w:t xml:space="preserve"> </w:t>
            </w:r>
            <w:r w:rsidR="00270DBE" w:rsidRPr="00D50E91">
              <w:rPr>
                <w:sz w:val="20"/>
                <w:szCs w:val="20"/>
              </w:rPr>
              <w:t>E</w:t>
            </w:r>
          </w:p>
        </w:tc>
      </w:tr>
      <w:tr w:rsidR="00406DFF" w:rsidRPr="00D50E91" w:rsidTr="00406DFF">
        <w:tc>
          <w:tcPr>
            <w:tcW w:w="560" w:type="dxa"/>
            <w:tcBorders>
              <w:top w:val="single" w:sz="4" w:space="0" w:color="auto"/>
              <w:left w:val="single" w:sz="4" w:space="0" w:color="auto"/>
              <w:bottom w:val="single" w:sz="4" w:space="0" w:color="auto"/>
              <w:right w:val="single" w:sz="4" w:space="0" w:color="auto"/>
            </w:tcBorders>
          </w:tcPr>
          <w:p w:rsidR="00406DFF" w:rsidRPr="00D50E91" w:rsidRDefault="00406DFF" w:rsidP="001130CB">
            <w:pPr>
              <w:autoSpaceDE w:val="0"/>
              <w:autoSpaceDN w:val="0"/>
              <w:adjustRightInd w:val="0"/>
              <w:ind w:left="56" w:right="56"/>
              <w:jc w:val="center"/>
              <w:rPr>
                <w:b/>
                <w:sz w:val="20"/>
                <w:szCs w:val="20"/>
              </w:rPr>
            </w:pPr>
            <w:r w:rsidRPr="00D50E91">
              <w:rPr>
                <w:b/>
                <w:sz w:val="20"/>
                <w:szCs w:val="20"/>
              </w:rPr>
              <w:t xml:space="preserve"> 1</w:t>
            </w:r>
          </w:p>
        </w:tc>
        <w:tc>
          <w:tcPr>
            <w:tcW w:w="4534" w:type="dxa"/>
            <w:vMerge w:val="restart"/>
            <w:tcBorders>
              <w:top w:val="single" w:sz="4" w:space="0" w:color="auto"/>
              <w:left w:val="single" w:sz="4" w:space="0" w:color="auto"/>
              <w:right w:val="single" w:sz="4" w:space="0" w:color="auto"/>
            </w:tcBorders>
          </w:tcPr>
          <w:p w:rsidR="00406DFF" w:rsidRPr="00D50E91" w:rsidRDefault="00406DFF" w:rsidP="001130CB">
            <w:pPr>
              <w:autoSpaceDE w:val="0"/>
              <w:autoSpaceDN w:val="0"/>
              <w:adjustRightInd w:val="0"/>
              <w:ind w:left="56" w:right="56"/>
              <w:rPr>
                <w:b/>
                <w:sz w:val="20"/>
                <w:szCs w:val="20"/>
              </w:rPr>
            </w:pPr>
            <w:r w:rsidRPr="00D50E91">
              <w:rPr>
                <w:b/>
                <w:sz w:val="20"/>
                <w:szCs w:val="20"/>
              </w:rPr>
              <w:t xml:space="preserve"> Rendeltetés, önálló rendeltetési egység</w:t>
            </w:r>
          </w:p>
          <w:p w:rsidR="00406DFF" w:rsidRPr="00D50E91" w:rsidRDefault="00406DFF" w:rsidP="001130CB">
            <w:pPr>
              <w:autoSpaceDE w:val="0"/>
              <w:autoSpaceDN w:val="0"/>
              <w:adjustRightInd w:val="0"/>
              <w:rPr>
                <w:b/>
                <w:sz w:val="20"/>
                <w:szCs w:val="20"/>
              </w:rPr>
            </w:pPr>
            <w:r w:rsidRPr="00D50E91">
              <w:rPr>
                <w:b/>
                <w:sz w:val="20"/>
                <w:szCs w:val="20"/>
              </w:rPr>
              <w:t xml:space="preserve"> </w:t>
            </w:r>
          </w:p>
        </w:tc>
        <w:tc>
          <w:tcPr>
            <w:tcW w:w="1134" w:type="dxa"/>
            <w:vMerge w:val="restart"/>
            <w:tcBorders>
              <w:top w:val="single" w:sz="4" w:space="0" w:color="auto"/>
              <w:left w:val="single" w:sz="4" w:space="0" w:color="auto"/>
              <w:right w:val="single" w:sz="4" w:space="0" w:color="auto"/>
            </w:tcBorders>
          </w:tcPr>
          <w:p w:rsidR="00406DFF" w:rsidRPr="00D50E91" w:rsidRDefault="00406DFF" w:rsidP="001130CB">
            <w:pPr>
              <w:autoSpaceDE w:val="0"/>
              <w:autoSpaceDN w:val="0"/>
              <w:adjustRightInd w:val="0"/>
              <w:ind w:left="56" w:right="56"/>
              <w:jc w:val="center"/>
              <w:rPr>
                <w:b/>
                <w:sz w:val="20"/>
                <w:szCs w:val="20"/>
              </w:rPr>
            </w:pPr>
            <w:r w:rsidRPr="00D50E91">
              <w:rPr>
                <w:b/>
                <w:sz w:val="20"/>
                <w:szCs w:val="20"/>
              </w:rPr>
              <w:t xml:space="preserve"> Kockázati egység kockázati osztálya</w:t>
            </w:r>
          </w:p>
          <w:p w:rsidR="00406DFF" w:rsidRPr="00D50E91" w:rsidRDefault="00406DFF" w:rsidP="001130CB">
            <w:pPr>
              <w:autoSpaceDE w:val="0"/>
              <w:autoSpaceDN w:val="0"/>
              <w:adjustRightInd w:val="0"/>
              <w:rPr>
                <w:b/>
                <w:sz w:val="20"/>
                <w:szCs w:val="20"/>
              </w:rPr>
            </w:pPr>
            <w:r w:rsidRPr="00D50E91">
              <w:rPr>
                <w:b/>
                <w:sz w:val="20"/>
                <w:szCs w:val="20"/>
              </w:rPr>
              <w:t xml:space="preserve"> </w:t>
            </w:r>
          </w:p>
        </w:tc>
        <w:tc>
          <w:tcPr>
            <w:tcW w:w="1134" w:type="dxa"/>
            <w:vMerge w:val="restart"/>
            <w:tcBorders>
              <w:top w:val="single" w:sz="4" w:space="0" w:color="auto"/>
              <w:left w:val="single" w:sz="4" w:space="0" w:color="auto"/>
              <w:right w:val="single" w:sz="4" w:space="0" w:color="auto"/>
            </w:tcBorders>
          </w:tcPr>
          <w:p w:rsidR="00406DFF" w:rsidRPr="00D50E91" w:rsidRDefault="00406DFF" w:rsidP="001130CB">
            <w:pPr>
              <w:autoSpaceDE w:val="0"/>
              <w:autoSpaceDN w:val="0"/>
              <w:adjustRightInd w:val="0"/>
              <w:ind w:left="56" w:right="56"/>
              <w:jc w:val="center"/>
              <w:rPr>
                <w:b/>
                <w:sz w:val="20"/>
                <w:szCs w:val="20"/>
              </w:rPr>
            </w:pPr>
            <w:r w:rsidRPr="00D50E91">
              <w:rPr>
                <w:b/>
                <w:sz w:val="20"/>
                <w:szCs w:val="20"/>
              </w:rPr>
              <w:t xml:space="preserve"> </w:t>
            </w:r>
            <w:r w:rsidRPr="00D50E91">
              <w:rPr>
                <w:b/>
                <w:sz w:val="20"/>
                <w:szCs w:val="20"/>
              </w:rPr>
              <w:br/>
              <w:t>További feltétel</w:t>
            </w:r>
          </w:p>
          <w:p w:rsidR="00406DFF" w:rsidRPr="00D50E91" w:rsidRDefault="00406DFF" w:rsidP="001130CB">
            <w:pPr>
              <w:autoSpaceDE w:val="0"/>
              <w:autoSpaceDN w:val="0"/>
              <w:adjustRightInd w:val="0"/>
              <w:rPr>
                <w:b/>
                <w:sz w:val="20"/>
                <w:szCs w:val="20"/>
              </w:rPr>
            </w:pPr>
            <w:r w:rsidRPr="00D50E91">
              <w:rPr>
                <w:b/>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406DFF" w:rsidRPr="00D50E91" w:rsidRDefault="00406DFF" w:rsidP="001130CB">
            <w:pPr>
              <w:autoSpaceDE w:val="0"/>
              <w:autoSpaceDN w:val="0"/>
              <w:adjustRightInd w:val="0"/>
              <w:ind w:left="56" w:right="56"/>
              <w:jc w:val="center"/>
              <w:rPr>
                <w:b/>
                <w:sz w:val="20"/>
                <w:szCs w:val="20"/>
              </w:rPr>
            </w:pPr>
            <w:r w:rsidRPr="00D50E91">
              <w:rPr>
                <w:b/>
                <w:sz w:val="20"/>
                <w:szCs w:val="20"/>
              </w:rPr>
              <w:t xml:space="preserve"> </w:t>
            </w:r>
            <w:r w:rsidRPr="00D50E91">
              <w:rPr>
                <w:b/>
                <w:sz w:val="20"/>
                <w:szCs w:val="20"/>
              </w:rPr>
              <w:br/>
              <w:t>Tűzjelző</w:t>
            </w:r>
            <w:r w:rsidRPr="00D50E91">
              <w:rPr>
                <w:b/>
                <w:sz w:val="20"/>
                <w:szCs w:val="20"/>
              </w:rPr>
              <w:br/>
              <w:t>berendezés</w:t>
            </w:r>
          </w:p>
        </w:tc>
        <w:tc>
          <w:tcPr>
            <w:tcW w:w="1134" w:type="dxa"/>
            <w:tcBorders>
              <w:top w:val="single" w:sz="4" w:space="0" w:color="auto"/>
              <w:left w:val="single" w:sz="4" w:space="0" w:color="auto"/>
              <w:bottom w:val="single" w:sz="4" w:space="0" w:color="auto"/>
              <w:right w:val="single" w:sz="4" w:space="0" w:color="auto"/>
            </w:tcBorders>
          </w:tcPr>
          <w:p w:rsidR="00406DFF" w:rsidRPr="00D50E91" w:rsidRDefault="00406DFF" w:rsidP="001130CB">
            <w:pPr>
              <w:autoSpaceDE w:val="0"/>
              <w:autoSpaceDN w:val="0"/>
              <w:adjustRightInd w:val="0"/>
              <w:ind w:left="56" w:right="56"/>
              <w:jc w:val="center"/>
              <w:rPr>
                <w:b/>
                <w:sz w:val="20"/>
                <w:szCs w:val="20"/>
              </w:rPr>
            </w:pPr>
            <w:r w:rsidRPr="00D50E91">
              <w:rPr>
                <w:b/>
                <w:sz w:val="20"/>
                <w:szCs w:val="20"/>
              </w:rPr>
              <w:t xml:space="preserve"> </w:t>
            </w:r>
            <w:r w:rsidRPr="00D50E91">
              <w:rPr>
                <w:b/>
                <w:sz w:val="20"/>
                <w:szCs w:val="20"/>
              </w:rPr>
              <w:br/>
              <w:t>Tűzoltó berendezés</w:t>
            </w:r>
          </w:p>
        </w:tc>
      </w:tr>
      <w:tr w:rsidR="00406DFF" w:rsidRPr="00D50E91" w:rsidTr="00406DFF">
        <w:tc>
          <w:tcPr>
            <w:tcW w:w="560" w:type="dxa"/>
            <w:tcBorders>
              <w:top w:val="single" w:sz="4" w:space="0" w:color="auto"/>
              <w:left w:val="single" w:sz="4" w:space="0" w:color="auto"/>
              <w:bottom w:val="single" w:sz="4" w:space="0" w:color="auto"/>
              <w:right w:val="single" w:sz="4" w:space="0" w:color="auto"/>
            </w:tcBorders>
          </w:tcPr>
          <w:p w:rsidR="00406DFF" w:rsidRPr="00D50E91" w:rsidRDefault="00406DFF" w:rsidP="001130CB">
            <w:pPr>
              <w:autoSpaceDE w:val="0"/>
              <w:autoSpaceDN w:val="0"/>
              <w:adjustRightInd w:val="0"/>
              <w:ind w:left="56" w:right="56"/>
              <w:jc w:val="center"/>
              <w:rPr>
                <w:b/>
                <w:sz w:val="20"/>
                <w:szCs w:val="20"/>
              </w:rPr>
            </w:pPr>
            <w:r w:rsidRPr="00D50E91">
              <w:rPr>
                <w:b/>
                <w:sz w:val="20"/>
                <w:szCs w:val="20"/>
              </w:rPr>
              <w:t xml:space="preserve"> 2</w:t>
            </w:r>
          </w:p>
        </w:tc>
        <w:tc>
          <w:tcPr>
            <w:tcW w:w="4534" w:type="dxa"/>
            <w:vMerge/>
            <w:tcBorders>
              <w:left w:val="single" w:sz="4" w:space="0" w:color="auto"/>
              <w:bottom w:val="single" w:sz="4" w:space="0" w:color="auto"/>
              <w:right w:val="single" w:sz="4" w:space="0" w:color="auto"/>
            </w:tcBorders>
          </w:tcPr>
          <w:p w:rsidR="00406DFF" w:rsidRPr="00D50E91" w:rsidRDefault="00406DFF" w:rsidP="001130CB">
            <w:pPr>
              <w:autoSpaceDE w:val="0"/>
              <w:autoSpaceDN w:val="0"/>
              <w:adjustRightInd w:val="0"/>
              <w:rPr>
                <w:b/>
                <w:sz w:val="20"/>
                <w:szCs w:val="20"/>
              </w:rPr>
            </w:pPr>
          </w:p>
        </w:tc>
        <w:tc>
          <w:tcPr>
            <w:tcW w:w="1134" w:type="dxa"/>
            <w:vMerge/>
            <w:tcBorders>
              <w:left w:val="single" w:sz="4" w:space="0" w:color="auto"/>
              <w:bottom w:val="single" w:sz="4" w:space="0" w:color="auto"/>
              <w:right w:val="single" w:sz="4" w:space="0" w:color="auto"/>
            </w:tcBorders>
          </w:tcPr>
          <w:p w:rsidR="00406DFF" w:rsidRPr="00D50E91" w:rsidRDefault="00406DFF" w:rsidP="001130CB">
            <w:pPr>
              <w:autoSpaceDE w:val="0"/>
              <w:autoSpaceDN w:val="0"/>
              <w:adjustRightInd w:val="0"/>
              <w:rPr>
                <w:b/>
                <w:sz w:val="20"/>
                <w:szCs w:val="20"/>
              </w:rPr>
            </w:pPr>
          </w:p>
        </w:tc>
        <w:tc>
          <w:tcPr>
            <w:tcW w:w="1134" w:type="dxa"/>
            <w:vMerge/>
            <w:tcBorders>
              <w:left w:val="single" w:sz="4" w:space="0" w:color="auto"/>
              <w:bottom w:val="single" w:sz="4" w:space="0" w:color="auto"/>
              <w:right w:val="single" w:sz="4" w:space="0" w:color="auto"/>
            </w:tcBorders>
          </w:tcPr>
          <w:p w:rsidR="00406DFF" w:rsidRPr="00D50E91" w:rsidRDefault="00406DFF" w:rsidP="001130CB">
            <w:pPr>
              <w:autoSpaceDE w:val="0"/>
              <w:autoSpaceDN w:val="0"/>
              <w:adjustRightInd w:val="0"/>
              <w:rPr>
                <w:b/>
                <w:sz w:val="20"/>
                <w:szCs w:val="20"/>
              </w:rPr>
            </w:pPr>
          </w:p>
        </w:tc>
        <w:tc>
          <w:tcPr>
            <w:tcW w:w="2268" w:type="dxa"/>
            <w:gridSpan w:val="2"/>
            <w:tcBorders>
              <w:top w:val="single" w:sz="4" w:space="0" w:color="auto"/>
              <w:left w:val="single" w:sz="4" w:space="0" w:color="auto"/>
              <w:bottom w:val="single" w:sz="4" w:space="0" w:color="auto"/>
              <w:right w:val="single" w:sz="4" w:space="0" w:color="auto"/>
            </w:tcBorders>
          </w:tcPr>
          <w:p w:rsidR="00406DFF" w:rsidRPr="00D50E91" w:rsidRDefault="00406DFF" w:rsidP="001130CB">
            <w:pPr>
              <w:autoSpaceDE w:val="0"/>
              <w:autoSpaceDN w:val="0"/>
              <w:adjustRightInd w:val="0"/>
              <w:ind w:left="56" w:right="56"/>
              <w:jc w:val="center"/>
              <w:rPr>
                <w:b/>
                <w:sz w:val="20"/>
                <w:szCs w:val="20"/>
              </w:rPr>
            </w:pPr>
            <w:r w:rsidRPr="00D50E91">
              <w:rPr>
                <w:b/>
                <w:sz w:val="20"/>
                <w:szCs w:val="20"/>
              </w:rPr>
              <w:t>szükséges</w:t>
            </w:r>
          </w:p>
          <w:p w:rsidR="00406DFF" w:rsidRPr="00D50E91" w:rsidRDefault="00406DFF" w:rsidP="001130CB">
            <w:pPr>
              <w:autoSpaceDE w:val="0"/>
              <w:autoSpaceDN w:val="0"/>
              <w:adjustRightInd w:val="0"/>
              <w:ind w:left="56" w:right="56"/>
              <w:jc w:val="center"/>
              <w:rPr>
                <w:b/>
                <w:sz w:val="20"/>
                <w:szCs w:val="20"/>
              </w:rPr>
            </w:pPr>
            <w:r w:rsidRPr="00D50E91">
              <w:rPr>
                <w:b/>
                <w:sz w:val="20"/>
                <w:szCs w:val="20"/>
              </w:rPr>
              <w:t>az önálló rendeltetési egység területén</w:t>
            </w:r>
          </w:p>
        </w:tc>
      </w:tr>
      <w:tr w:rsidR="005B415B" w:rsidRPr="00D50E91" w:rsidTr="001130CB">
        <w:tc>
          <w:tcPr>
            <w:tcW w:w="560"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3</w:t>
            </w:r>
          </w:p>
        </w:tc>
        <w:tc>
          <w:tcPr>
            <w:tcW w:w="9070" w:type="dxa"/>
            <w:gridSpan w:val="5"/>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rPr>
                <w:b/>
                <w:bCs/>
                <w:sz w:val="20"/>
                <w:szCs w:val="20"/>
              </w:rPr>
            </w:pPr>
            <w:r w:rsidRPr="00D50E91">
              <w:rPr>
                <w:sz w:val="20"/>
                <w:szCs w:val="20"/>
              </w:rPr>
              <w:t xml:space="preserve"> </w:t>
            </w:r>
            <w:r w:rsidRPr="00D50E91">
              <w:rPr>
                <w:b/>
                <w:bCs/>
                <w:sz w:val="20"/>
                <w:szCs w:val="20"/>
              </w:rPr>
              <w:t>Szállás</w:t>
            </w:r>
          </w:p>
        </w:tc>
      </w:tr>
      <w:tr w:rsidR="005B415B" w:rsidRPr="00D50E91" w:rsidTr="001130CB">
        <w:tc>
          <w:tcPr>
            <w:tcW w:w="560"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4</w:t>
            </w:r>
          </w:p>
        </w:tc>
        <w:tc>
          <w:tcPr>
            <w:tcW w:w="4534" w:type="dxa"/>
            <w:vMerge w:val="restart"/>
            <w:tcBorders>
              <w:top w:val="single" w:sz="4" w:space="0" w:color="auto"/>
              <w:left w:val="single" w:sz="4" w:space="0" w:color="auto"/>
              <w:right w:val="single" w:sz="4" w:space="0" w:color="auto"/>
            </w:tcBorders>
          </w:tcPr>
          <w:p w:rsidR="005B415B" w:rsidRPr="00D50E91" w:rsidRDefault="005B415B" w:rsidP="001130CB">
            <w:pPr>
              <w:autoSpaceDE w:val="0"/>
              <w:autoSpaceDN w:val="0"/>
              <w:adjustRightInd w:val="0"/>
              <w:ind w:left="56" w:right="56"/>
              <w:rPr>
                <w:sz w:val="20"/>
                <w:szCs w:val="20"/>
              </w:rPr>
            </w:pPr>
            <w:r w:rsidRPr="00D50E91">
              <w:rPr>
                <w:sz w:val="20"/>
                <w:szCs w:val="20"/>
              </w:rPr>
              <w:t xml:space="preserve"> Kereskedelmi szálláshely, kollégium, diákszálló, </w:t>
            </w:r>
          </w:p>
          <w:p w:rsidR="005B415B" w:rsidRPr="00D50E91" w:rsidRDefault="005B415B" w:rsidP="001130CB">
            <w:pPr>
              <w:autoSpaceDE w:val="0"/>
              <w:autoSpaceDN w:val="0"/>
              <w:adjustRightInd w:val="0"/>
              <w:ind w:left="56" w:right="56"/>
              <w:rPr>
                <w:sz w:val="20"/>
                <w:szCs w:val="20"/>
              </w:rPr>
            </w:pPr>
            <w:r w:rsidRPr="00D50E91">
              <w:rPr>
                <w:sz w:val="20"/>
                <w:szCs w:val="20"/>
              </w:rPr>
              <w:t xml:space="preserve"> munkásszálló, menekülésben korlátozott személyek lakóotthona és más szállásrendeltetések</w:t>
            </w:r>
          </w:p>
          <w:p w:rsidR="005B415B" w:rsidRPr="00D50E91" w:rsidRDefault="005B415B" w:rsidP="001130CB">
            <w:pPr>
              <w:autoSpaceDE w:val="0"/>
              <w:autoSpaceDN w:val="0"/>
              <w:adjustRightInd w:val="0"/>
              <w:ind w:left="56" w:right="56"/>
              <w:rPr>
                <w:sz w:val="20"/>
                <w:szCs w:val="20"/>
              </w:rPr>
            </w:pPr>
            <w:r w:rsidRPr="00D50E91">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NAK, AK, KK</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20 fő elhelyezett személy felett</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igen</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jc w:val="center"/>
              <w:rPr>
                <w:sz w:val="20"/>
                <w:szCs w:val="20"/>
              </w:rPr>
            </w:pPr>
            <w:r w:rsidRPr="00D50E91">
              <w:rPr>
                <w:sz w:val="20"/>
                <w:szCs w:val="20"/>
              </w:rPr>
              <w:t>hatósági kötelezés esetén</w:t>
            </w:r>
          </w:p>
        </w:tc>
      </w:tr>
      <w:tr w:rsidR="005B415B" w:rsidRPr="00D50E91" w:rsidTr="001130CB">
        <w:tc>
          <w:tcPr>
            <w:tcW w:w="560"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5</w:t>
            </w:r>
          </w:p>
        </w:tc>
        <w:tc>
          <w:tcPr>
            <w:tcW w:w="4534" w:type="dxa"/>
            <w:vMerge/>
            <w:tcBorders>
              <w:left w:val="single" w:sz="4" w:space="0" w:color="auto"/>
              <w:right w:val="single" w:sz="4" w:space="0" w:color="auto"/>
            </w:tcBorders>
          </w:tcPr>
          <w:p w:rsidR="005B415B" w:rsidRPr="00D50E91" w:rsidRDefault="005B415B" w:rsidP="001130CB">
            <w:pPr>
              <w:autoSpaceDE w:val="0"/>
              <w:autoSpaceDN w:val="0"/>
              <w:adjustRightInd w:val="0"/>
              <w:ind w:left="56" w:right="56"/>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KK </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50 fő elhelyezett személy felett </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igen</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igen</w:t>
            </w:r>
          </w:p>
        </w:tc>
      </w:tr>
      <w:tr w:rsidR="005B415B" w:rsidRPr="00D50E91" w:rsidTr="001130CB">
        <w:tc>
          <w:tcPr>
            <w:tcW w:w="560"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5</w:t>
            </w:r>
          </w:p>
        </w:tc>
        <w:tc>
          <w:tcPr>
            <w:tcW w:w="4534" w:type="dxa"/>
            <w:vMerge/>
            <w:tcBorders>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MK</w:t>
            </w:r>
          </w:p>
        </w:tc>
        <w:tc>
          <w:tcPr>
            <w:tcW w:w="1134" w:type="dxa"/>
            <w:tcBorders>
              <w:top w:val="nil"/>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w:t>
            </w:r>
            <w:r w:rsidR="003528A8">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igen</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igen</w:t>
            </w:r>
          </w:p>
        </w:tc>
      </w:tr>
      <w:tr w:rsidR="005B415B" w:rsidRPr="00D50E91" w:rsidTr="001130CB">
        <w:tc>
          <w:tcPr>
            <w:tcW w:w="560"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6</w:t>
            </w:r>
          </w:p>
        </w:tc>
        <w:tc>
          <w:tcPr>
            <w:tcW w:w="9070" w:type="dxa"/>
            <w:gridSpan w:val="5"/>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rPr>
                <w:b/>
                <w:bCs/>
                <w:sz w:val="20"/>
                <w:szCs w:val="20"/>
              </w:rPr>
            </w:pPr>
            <w:r w:rsidRPr="00D50E91">
              <w:rPr>
                <w:sz w:val="20"/>
                <w:szCs w:val="20"/>
              </w:rPr>
              <w:t xml:space="preserve"> </w:t>
            </w:r>
            <w:r w:rsidRPr="00D50E91">
              <w:rPr>
                <w:b/>
                <w:bCs/>
                <w:sz w:val="20"/>
                <w:szCs w:val="20"/>
              </w:rPr>
              <w:t>Iroda, igazgatás</w:t>
            </w:r>
          </w:p>
        </w:tc>
      </w:tr>
      <w:tr w:rsidR="005B415B" w:rsidRPr="00D50E91" w:rsidTr="001130CB">
        <w:tc>
          <w:tcPr>
            <w:tcW w:w="560"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7</w:t>
            </w:r>
          </w:p>
        </w:tc>
        <w:tc>
          <w:tcPr>
            <w:tcW w:w="4534" w:type="dxa"/>
            <w:vMerge w:val="restart"/>
            <w:tcBorders>
              <w:top w:val="single" w:sz="4" w:space="0" w:color="auto"/>
              <w:left w:val="single" w:sz="4" w:space="0" w:color="auto"/>
              <w:right w:val="single" w:sz="4" w:space="0" w:color="auto"/>
            </w:tcBorders>
          </w:tcPr>
          <w:p w:rsidR="005B415B" w:rsidRPr="00D50E91" w:rsidRDefault="005B415B" w:rsidP="001130CB">
            <w:pPr>
              <w:autoSpaceDE w:val="0"/>
              <w:autoSpaceDN w:val="0"/>
              <w:adjustRightInd w:val="0"/>
              <w:ind w:left="56" w:right="56"/>
              <w:rPr>
                <w:sz w:val="20"/>
                <w:szCs w:val="20"/>
              </w:rPr>
            </w:pPr>
            <w:r w:rsidRPr="00D50E91">
              <w:rPr>
                <w:sz w:val="20"/>
                <w:szCs w:val="20"/>
              </w:rPr>
              <w:t xml:space="preserve"> Iroda, tárgyaló, bemutató terem, pénzügyi szolgáltatás, posta</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NAK</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500 m2 felett</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igen</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jc w:val="center"/>
              <w:rPr>
                <w:sz w:val="20"/>
                <w:szCs w:val="20"/>
              </w:rPr>
            </w:pPr>
            <w:r w:rsidRPr="00D50E91">
              <w:rPr>
                <w:sz w:val="20"/>
                <w:szCs w:val="20"/>
              </w:rPr>
              <w:t>hatósági kötelezés esetén</w:t>
            </w:r>
          </w:p>
        </w:tc>
      </w:tr>
      <w:tr w:rsidR="005B415B" w:rsidRPr="00D50E91" w:rsidTr="001130CB">
        <w:tc>
          <w:tcPr>
            <w:tcW w:w="560"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8</w:t>
            </w:r>
          </w:p>
        </w:tc>
        <w:tc>
          <w:tcPr>
            <w:tcW w:w="4534" w:type="dxa"/>
            <w:vMerge/>
            <w:tcBorders>
              <w:left w:val="single" w:sz="4" w:space="0" w:color="auto"/>
              <w:bottom w:val="nil"/>
              <w:right w:val="single" w:sz="4" w:space="0" w:color="auto"/>
            </w:tcBorders>
          </w:tcPr>
          <w:p w:rsidR="005B415B" w:rsidRPr="00D50E91" w:rsidRDefault="005B415B" w:rsidP="001130CB">
            <w:pPr>
              <w:autoSpaceDE w:val="0"/>
              <w:autoSpaceDN w:val="0"/>
              <w:adjustRightInd w:val="0"/>
              <w:ind w:left="56" w:right="56"/>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AK</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270DBE">
            <w:pPr>
              <w:autoSpaceDE w:val="0"/>
              <w:autoSpaceDN w:val="0"/>
              <w:adjustRightInd w:val="0"/>
              <w:ind w:left="56" w:right="56"/>
              <w:jc w:val="center"/>
              <w:rPr>
                <w:sz w:val="20"/>
                <w:szCs w:val="20"/>
              </w:rPr>
            </w:pPr>
            <w:r w:rsidRPr="00D50E91">
              <w:rPr>
                <w:sz w:val="20"/>
                <w:szCs w:val="20"/>
              </w:rPr>
              <w:t xml:space="preserve"> 1</w:t>
            </w:r>
            <w:r w:rsidR="00270DBE" w:rsidRPr="00D50E91">
              <w:rPr>
                <w:sz w:val="20"/>
                <w:szCs w:val="20"/>
              </w:rPr>
              <w:t> </w:t>
            </w:r>
            <w:r w:rsidRPr="00D50E91">
              <w:rPr>
                <w:sz w:val="20"/>
                <w:szCs w:val="20"/>
              </w:rPr>
              <w:t>000</w:t>
            </w:r>
            <w:r w:rsidR="00270DBE" w:rsidRPr="00D50E91">
              <w:rPr>
                <w:sz w:val="20"/>
                <w:szCs w:val="20"/>
              </w:rPr>
              <w:t xml:space="preserve"> </w:t>
            </w:r>
            <w:r w:rsidRPr="00D50E91">
              <w:rPr>
                <w:sz w:val="20"/>
                <w:szCs w:val="20"/>
              </w:rPr>
              <w:t>m2</w:t>
            </w:r>
            <w:r w:rsidRPr="00D50E91">
              <w:rPr>
                <w:sz w:val="20"/>
                <w:szCs w:val="20"/>
              </w:rPr>
              <w:br/>
              <w:t>felett</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igen</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jc w:val="center"/>
              <w:rPr>
                <w:sz w:val="20"/>
                <w:szCs w:val="20"/>
              </w:rPr>
            </w:pPr>
            <w:r w:rsidRPr="00D50E91">
              <w:rPr>
                <w:sz w:val="20"/>
                <w:szCs w:val="20"/>
              </w:rPr>
              <w:t>hatósági kötelezés esetén</w:t>
            </w:r>
          </w:p>
        </w:tc>
      </w:tr>
      <w:tr w:rsidR="005B415B" w:rsidRPr="00D50E91" w:rsidTr="001130CB">
        <w:tc>
          <w:tcPr>
            <w:tcW w:w="560"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9</w:t>
            </w:r>
          </w:p>
        </w:tc>
        <w:tc>
          <w:tcPr>
            <w:tcW w:w="4534" w:type="dxa"/>
            <w:tcBorders>
              <w:top w:val="nil"/>
              <w:left w:val="single" w:sz="4" w:space="0" w:color="auto"/>
              <w:bottom w:val="nil"/>
              <w:right w:val="single" w:sz="4" w:space="0" w:color="auto"/>
            </w:tcBorders>
          </w:tcPr>
          <w:p w:rsidR="005B415B" w:rsidRPr="00D50E91" w:rsidRDefault="005B415B" w:rsidP="001130CB">
            <w:pPr>
              <w:autoSpaceDE w:val="0"/>
              <w:autoSpaceDN w:val="0"/>
              <w:adjustRightInd w:val="0"/>
              <w:rPr>
                <w:sz w:val="20"/>
                <w:szCs w:val="20"/>
              </w:rPr>
            </w:pPr>
            <w:r w:rsidRPr="00D50E91">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KK</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270DBE">
            <w:pPr>
              <w:autoSpaceDE w:val="0"/>
              <w:autoSpaceDN w:val="0"/>
              <w:adjustRightInd w:val="0"/>
              <w:ind w:left="56" w:right="56"/>
              <w:jc w:val="center"/>
              <w:rPr>
                <w:sz w:val="20"/>
                <w:szCs w:val="20"/>
              </w:rPr>
            </w:pPr>
            <w:r w:rsidRPr="00D50E91">
              <w:rPr>
                <w:sz w:val="20"/>
                <w:szCs w:val="20"/>
              </w:rPr>
              <w:t>1</w:t>
            </w:r>
            <w:r w:rsidR="00270DBE" w:rsidRPr="00D50E91">
              <w:rPr>
                <w:sz w:val="20"/>
                <w:szCs w:val="20"/>
              </w:rPr>
              <w:t> </w:t>
            </w:r>
            <w:r w:rsidRPr="00D50E91">
              <w:rPr>
                <w:sz w:val="20"/>
                <w:szCs w:val="20"/>
              </w:rPr>
              <w:t>000</w:t>
            </w:r>
            <w:r w:rsidR="00270DBE" w:rsidRPr="00D50E91">
              <w:rPr>
                <w:sz w:val="20"/>
                <w:szCs w:val="20"/>
              </w:rPr>
              <w:t xml:space="preserve"> </w:t>
            </w:r>
            <w:r w:rsidRPr="00D50E91">
              <w:rPr>
                <w:sz w:val="20"/>
                <w:szCs w:val="20"/>
              </w:rPr>
              <w:t>m2 felett</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igen</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jc w:val="center"/>
              <w:rPr>
                <w:sz w:val="20"/>
                <w:szCs w:val="20"/>
              </w:rPr>
            </w:pPr>
            <w:r w:rsidRPr="00D50E91">
              <w:rPr>
                <w:sz w:val="20"/>
                <w:szCs w:val="20"/>
              </w:rPr>
              <w:t>hatósági kötelezés esetén</w:t>
            </w:r>
          </w:p>
        </w:tc>
      </w:tr>
      <w:tr w:rsidR="005B415B" w:rsidRPr="00D50E91" w:rsidTr="001130CB">
        <w:tc>
          <w:tcPr>
            <w:tcW w:w="560"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10</w:t>
            </w:r>
          </w:p>
        </w:tc>
        <w:tc>
          <w:tcPr>
            <w:tcW w:w="4534" w:type="dxa"/>
            <w:tcBorders>
              <w:top w:val="nil"/>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rPr>
                <w:sz w:val="20"/>
                <w:szCs w:val="20"/>
              </w:rPr>
            </w:pPr>
            <w:r w:rsidRPr="00D50E91">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MK</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w:t>
            </w:r>
            <w:r w:rsidR="003528A8">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igen</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igen</w:t>
            </w:r>
          </w:p>
        </w:tc>
      </w:tr>
      <w:tr w:rsidR="005B415B" w:rsidRPr="00D50E91" w:rsidTr="001130CB">
        <w:tc>
          <w:tcPr>
            <w:tcW w:w="560"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11</w:t>
            </w:r>
          </w:p>
        </w:tc>
        <w:tc>
          <w:tcPr>
            <w:tcW w:w="9070" w:type="dxa"/>
            <w:gridSpan w:val="5"/>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rPr>
                <w:b/>
                <w:bCs/>
                <w:sz w:val="20"/>
                <w:szCs w:val="20"/>
              </w:rPr>
            </w:pPr>
            <w:r w:rsidRPr="00D50E91">
              <w:rPr>
                <w:sz w:val="20"/>
                <w:szCs w:val="20"/>
              </w:rPr>
              <w:t xml:space="preserve"> </w:t>
            </w:r>
            <w:r w:rsidRPr="00D50E91">
              <w:rPr>
                <w:b/>
                <w:bCs/>
                <w:sz w:val="20"/>
                <w:szCs w:val="20"/>
              </w:rPr>
              <w:t>Nevelés, oktatás</w:t>
            </w:r>
            <w:r w:rsidRPr="00D50E91">
              <w:rPr>
                <w:b/>
                <w:sz w:val="16"/>
                <w:szCs w:val="16"/>
              </w:rPr>
              <w:t xml:space="preserve"> </w:t>
            </w:r>
          </w:p>
        </w:tc>
      </w:tr>
      <w:tr w:rsidR="005B415B" w:rsidRPr="00D50E91" w:rsidTr="001130CB">
        <w:tc>
          <w:tcPr>
            <w:tcW w:w="560"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12</w:t>
            </w:r>
          </w:p>
        </w:tc>
        <w:tc>
          <w:tcPr>
            <w:tcW w:w="4534" w:type="dxa"/>
            <w:vMerge w:val="restart"/>
            <w:tcBorders>
              <w:top w:val="single" w:sz="4" w:space="0" w:color="auto"/>
              <w:left w:val="single" w:sz="4" w:space="0" w:color="auto"/>
              <w:right w:val="single" w:sz="4" w:space="0" w:color="auto"/>
            </w:tcBorders>
          </w:tcPr>
          <w:p w:rsidR="005B415B" w:rsidRPr="00D50E91" w:rsidRDefault="005B415B" w:rsidP="001130CB">
            <w:pPr>
              <w:autoSpaceDE w:val="0"/>
              <w:autoSpaceDN w:val="0"/>
              <w:adjustRightInd w:val="0"/>
              <w:ind w:left="56" w:right="56"/>
              <w:rPr>
                <w:sz w:val="20"/>
                <w:szCs w:val="20"/>
              </w:rPr>
            </w:pPr>
            <w:r w:rsidRPr="00D50E91">
              <w:rPr>
                <w:sz w:val="20"/>
                <w:szCs w:val="20"/>
              </w:rPr>
              <w:t xml:space="preserve"> Bölcsőde, óvoda, iskola, főiskola, egyetem, felnőtt képzés és más nevelési, oktatási rendeltetések</w:t>
            </w:r>
          </w:p>
          <w:p w:rsidR="005B415B" w:rsidRPr="00D50E91" w:rsidRDefault="005B415B" w:rsidP="001130CB">
            <w:pPr>
              <w:autoSpaceDE w:val="0"/>
              <w:autoSpaceDN w:val="0"/>
              <w:adjustRightInd w:val="0"/>
              <w:rPr>
                <w:sz w:val="20"/>
                <w:szCs w:val="20"/>
              </w:rPr>
            </w:pPr>
            <w:r w:rsidRPr="00D50E91">
              <w:rPr>
                <w:sz w:val="20"/>
                <w:szCs w:val="20"/>
              </w:rPr>
              <w:t xml:space="preserve"> </w:t>
            </w:r>
          </w:p>
        </w:tc>
        <w:tc>
          <w:tcPr>
            <w:tcW w:w="1134" w:type="dxa"/>
            <w:tcBorders>
              <w:top w:val="single" w:sz="4" w:space="0" w:color="auto"/>
              <w:left w:val="single" w:sz="4" w:space="0" w:color="auto"/>
              <w:bottom w:val="nil"/>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AK, KK</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500 m2 felett</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igen</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jc w:val="center"/>
              <w:rPr>
                <w:sz w:val="20"/>
                <w:szCs w:val="20"/>
              </w:rPr>
            </w:pPr>
            <w:r w:rsidRPr="00D50E91">
              <w:rPr>
                <w:sz w:val="20"/>
                <w:szCs w:val="20"/>
              </w:rPr>
              <w:t>hatósági kötelezés esetén</w:t>
            </w:r>
          </w:p>
        </w:tc>
      </w:tr>
      <w:tr w:rsidR="005B415B" w:rsidRPr="00D50E91" w:rsidTr="001130CB">
        <w:tc>
          <w:tcPr>
            <w:tcW w:w="560"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lastRenderedPageBreak/>
              <w:t xml:space="preserve"> 14</w:t>
            </w:r>
          </w:p>
        </w:tc>
        <w:tc>
          <w:tcPr>
            <w:tcW w:w="4534" w:type="dxa"/>
            <w:vMerge/>
            <w:tcBorders>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MK</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w:t>
            </w:r>
            <w:r w:rsidR="003528A8">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igen</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igen</w:t>
            </w:r>
          </w:p>
        </w:tc>
      </w:tr>
      <w:tr w:rsidR="005B415B" w:rsidRPr="00D50E91" w:rsidTr="001130CB">
        <w:tc>
          <w:tcPr>
            <w:tcW w:w="560"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15</w:t>
            </w:r>
          </w:p>
        </w:tc>
        <w:tc>
          <w:tcPr>
            <w:tcW w:w="4534" w:type="dxa"/>
            <w:tcBorders>
              <w:top w:val="single" w:sz="4" w:space="0" w:color="auto"/>
              <w:left w:val="single" w:sz="4" w:space="0" w:color="auto"/>
              <w:bottom w:val="nil"/>
              <w:right w:val="single" w:sz="4" w:space="0" w:color="auto"/>
            </w:tcBorders>
          </w:tcPr>
          <w:p w:rsidR="005B415B" w:rsidRPr="00D50E91" w:rsidRDefault="005B415B" w:rsidP="001130CB">
            <w:pPr>
              <w:autoSpaceDE w:val="0"/>
              <w:autoSpaceDN w:val="0"/>
              <w:adjustRightInd w:val="0"/>
              <w:ind w:left="56" w:right="56"/>
              <w:rPr>
                <w:sz w:val="20"/>
                <w:szCs w:val="20"/>
              </w:rPr>
            </w:pPr>
            <w:r w:rsidRPr="00D50E91">
              <w:rPr>
                <w:sz w:val="20"/>
                <w:szCs w:val="20"/>
              </w:rPr>
              <w:t xml:space="preserve">  </w:t>
            </w:r>
            <w:r w:rsidRPr="00D50E91">
              <w:rPr>
                <w:sz w:val="20"/>
                <w:szCs w:val="20"/>
              </w:rPr>
              <w:br/>
              <w:t xml:space="preserve">Menekülésben korlátozott személyek speciális oktatási </w:t>
            </w:r>
          </w:p>
        </w:tc>
        <w:tc>
          <w:tcPr>
            <w:tcW w:w="1134" w:type="dxa"/>
            <w:tcBorders>
              <w:top w:val="single" w:sz="4" w:space="0" w:color="auto"/>
              <w:left w:val="single" w:sz="4" w:space="0" w:color="auto"/>
              <w:bottom w:val="nil"/>
              <w:right w:val="single" w:sz="4" w:space="0" w:color="auto"/>
            </w:tcBorders>
          </w:tcPr>
          <w:p w:rsidR="005B415B" w:rsidRPr="00D50E91" w:rsidRDefault="005B415B" w:rsidP="001130CB">
            <w:pPr>
              <w:autoSpaceDE w:val="0"/>
              <w:autoSpaceDN w:val="0"/>
              <w:adjustRightInd w:val="0"/>
              <w:rPr>
                <w:sz w:val="20"/>
                <w:szCs w:val="20"/>
              </w:rPr>
            </w:pPr>
            <w:r w:rsidRPr="00D50E91">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legfeljebb 50 fő ellátott</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igen</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jc w:val="center"/>
              <w:rPr>
                <w:sz w:val="20"/>
                <w:szCs w:val="20"/>
              </w:rPr>
            </w:pPr>
            <w:r w:rsidRPr="00D50E91">
              <w:rPr>
                <w:sz w:val="20"/>
                <w:szCs w:val="20"/>
              </w:rPr>
              <w:t>hatósági kötelezés esetén</w:t>
            </w:r>
          </w:p>
        </w:tc>
      </w:tr>
      <w:tr w:rsidR="005B415B" w:rsidRPr="00D50E91" w:rsidTr="001130CB">
        <w:tc>
          <w:tcPr>
            <w:tcW w:w="560"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16</w:t>
            </w:r>
          </w:p>
        </w:tc>
        <w:tc>
          <w:tcPr>
            <w:tcW w:w="4534" w:type="dxa"/>
            <w:tcBorders>
              <w:top w:val="nil"/>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rPr>
                <w:sz w:val="20"/>
                <w:szCs w:val="20"/>
              </w:rPr>
            </w:pPr>
            <w:r w:rsidRPr="00D50E91">
              <w:rPr>
                <w:sz w:val="20"/>
                <w:szCs w:val="20"/>
              </w:rPr>
              <w:t xml:space="preserve"> intézménye</w:t>
            </w:r>
          </w:p>
        </w:tc>
        <w:tc>
          <w:tcPr>
            <w:tcW w:w="1134" w:type="dxa"/>
            <w:tcBorders>
              <w:top w:val="nil"/>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rPr>
                <w:sz w:val="20"/>
                <w:szCs w:val="20"/>
              </w:rPr>
            </w:pPr>
            <w:r w:rsidRPr="00D50E91">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50 fő felett</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igen</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igen</w:t>
            </w:r>
          </w:p>
        </w:tc>
      </w:tr>
      <w:tr w:rsidR="005B415B" w:rsidRPr="00D50E91" w:rsidTr="001130CB">
        <w:tc>
          <w:tcPr>
            <w:tcW w:w="560"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17</w:t>
            </w:r>
          </w:p>
        </w:tc>
        <w:tc>
          <w:tcPr>
            <w:tcW w:w="9070" w:type="dxa"/>
            <w:gridSpan w:val="5"/>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rPr>
                <w:b/>
                <w:bCs/>
                <w:sz w:val="20"/>
                <w:szCs w:val="20"/>
              </w:rPr>
            </w:pPr>
            <w:r w:rsidRPr="00D50E91">
              <w:rPr>
                <w:sz w:val="20"/>
                <w:szCs w:val="20"/>
              </w:rPr>
              <w:t xml:space="preserve"> </w:t>
            </w:r>
            <w:r w:rsidRPr="00D50E91">
              <w:rPr>
                <w:b/>
                <w:bCs/>
                <w:sz w:val="20"/>
                <w:szCs w:val="20"/>
              </w:rPr>
              <w:t>Egészségügy és szociális</w:t>
            </w:r>
          </w:p>
        </w:tc>
      </w:tr>
      <w:tr w:rsidR="005B415B" w:rsidRPr="00D50E91" w:rsidTr="001130CB">
        <w:tc>
          <w:tcPr>
            <w:tcW w:w="560"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18</w:t>
            </w:r>
          </w:p>
        </w:tc>
        <w:tc>
          <w:tcPr>
            <w:tcW w:w="4534" w:type="dxa"/>
            <w:tcBorders>
              <w:top w:val="single" w:sz="4" w:space="0" w:color="auto"/>
              <w:left w:val="single" w:sz="4" w:space="0" w:color="auto"/>
              <w:bottom w:val="nil"/>
              <w:right w:val="single" w:sz="4" w:space="0" w:color="auto"/>
            </w:tcBorders>
          </w:tcPr>
          <w:p w:rsidR="005B415B" w:rsidRPr="00D50E91" w:rsidRDefault="005B415B" w:rsidP="00270DBE">
            <w:pPr>
              <w:autoSpaceDE w:val="0"/>
              <w:autoSpaceDN w:val="0"/>
              <w:adjustRightInd w:val="0"/>
              <w:ind w:left="56" w:right="56"/>
              <w:rPr>
                <w:sz w:val="20"/>
                <w:szCs w:val="20"/>
              </w:rPr>
            </w:pPr>
            <w:r w:rsidRPr="00D50E91">
              <w:rPr>
                <w:sz w:val="20"/>
                <w:szCs w:val="20"/>
              </w:rPr>
              <w:t xml:space="preserve"> </w:t>
            </w:r>
            <w:r w:rsidR="00270DBE" w:rsidRPr="00D50E91">
              <w:rPr>
                <w:sz w:val="20"/>
                <w:szCs w:val="20"/>
              </w:rPr>
              <w:t>H</w:t>
            </w:r>
            <w:r w:rsidRPr="00D50E91">
              <w:rPr>
                <w:sz w:val="20"/>
                <w:szCs w:val="20"/>
              </w:rPr>
              <w:t>áziorvosi rendelő, szakorvosi rendelő</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AK, KK</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500 m2 felett</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igen</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jc w:val="center"/>
              <w:rPr>
                <w:sz w:val="20"/>
                <w:szCs w:val="20"/>
              </w:rPr>
            </w:pPr>
            <w:r w:rsidRPr="00D50E91">
              <w:rPr>
                <w:sz w:val="20"/>
                <w:szCs w:val="20"/>
              </w:rPr>
              <w:t>hatósági kötelezés esetén</w:t>
            </w:r>
          </w:p>
        </w:tc>
      </w:tr>
      <w:tr w:rsidR="005B415B" w:rsidRPr="00D50E91" w:rsidTr="001130CB">
        <w:tc>
          <w:tcPr>
            <w:tcW w:w="560"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19</w:t>
            </w:r>
          </w:p>
        </w:tc>
        <w:tc>
          <w:tcPr>
            <w:tcW w:w="4534" w:type="dxa"/>
            <w:tcBorders>
              <w:top w:val="nil"/>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rPr>
                <w:sz w:val="20"/>
                <w:szCs w:val="20"/>
              </w:rPr>
            </w:pPr>
            <w:r w:rsidRPr="00D50E91">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MK</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w:t>
            </w:r>
            <w:r w:rsidR="003528A8">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igen</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igen</w:t>
            </w:r>
          </w:p>
        </w:tc>
      </w:tr>
      <w:tr w:rsidR="005B415B" w:rsidRPr="00D50E91" w:rsidTr="001130CB">
        <w:tc>
          <w:tcPr>
            <w:tcW w:w="560"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20</w:t>
            </w:r>
          </w:p>
        </w:tc>
        <w:tc>
          <w:tcPr>
            <w:tcW w:w="4534" w:type="dxa"/>
            <w:tcBorders>
              <w:top w:val="single" w:sz="4" w:space="0" w:color="auto"/>
              <w:left w:val="single" w:sz="4" w:space="0" w:color="auto"/>
              <w:bottom w:val="nil"/>
              <w:right w:val="single" w:sz="4" w:space="0" w:color="auto"/>
            </w:tcBorders>
          </w:tcPr>
          <w:p w:rsidR="005B415B" w:rsidRPr="00D50E91" w:rsidRDefault="00270DBE" w:rsidP="001130CB">
            <w:pPr>
              <w:autoSpaceDE w:val="0"/>
              <w:autoSpaceDN w:val="0"/>
              <w:adjustRightInd w:val="0"/>
              <w:ind w:left="56" w:right="56"/>
              <w:rPr>
                <w:sz w:val="20"/>
                <w:szCs w:val="20"/>
              </w:rPr>
            </w:pPr>
            <w:r w:rsidRPr="00D50E91">
              <w:rPr>
                <w:sz w:val="20"/>
                <w:szCs w:val="20"/>
              </w:rPr>
              <w:t xml:space="preserve"> F</w:t>
            </w:r>
            <w:r w:rsidR="005B415B" w:rsidRPr="00D50E91">
              <w:rPr>
                <w:sz w:val="20"/>
                <w:szCs w:val="20"/>
              </w:rPr>
              <w:t>ekvőbeteg</w:t>
            </w:r>
            <w:r w:rsidR="003528A8">
              <w:rPr>
                <w:sz w:val="20"/>
                <w:szCs w:val="20"/>
              </w:rPr>
              <w:t>-</w:t>
            </w:r>
            <w:r w:rsidR="005B415B" w:rsidRPr="00D50E91">
              <w:rPr>
                <w:sz w:val="20"/>
                <w:szCs w:val="20"/>
              </w:rPr>
              <w:t>ellátás, kórház, klinika, szanatórium</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KK</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w:t>
            </w:r>
            <w:r w:rsidR="003528A8">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igen</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jc w:val="center"/>
              <w:rPr>
                <w:sz w:val="20"/>
                <w:szCs w:val="20"/>
              </w:rPr>
            </w:pPr>
            <w:r w:rsidRPr="00D50E91">
              <w:rPr>
                <w:sz w:val="20"/>
                <w:szCs w:val="20"/>
              </w:rPr>
              <w:t>hatósági kötelezés esetén</w:t>
            </w:r>
          </w:p>
        </w:tc>
      </w:tr>
      <w:tr w:rsidR="005B415B" w:rsidRPr="00D50E91" w:rsidTr="001130CB">
        <w:tc>
          <w:tcPr>
            <w:tcW w:w="560"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21</w:t>
            </w:r>
          </w:p>
        </w:tc>
        <w:tc>
          <w:tcPr>
            <w:tcW w:w="4534" w:type="dxa"/>
            <w:tcBorders>
              <w:top w:val="nil"/>
              <w:left w:val="single" w:sz="4" w:space="0" w:color="auto"/>
              <w:bottom w:val="nil"/>
              <w:right w:val="single" w:sz="4" w:space="0" w:color="auto"/>
            </w:tcBorders>
          </w:tcPr>
          <w:p w:rsidR="005B415B" w:rsidRPr="00D50E91" w:rsidRDefault="005B415B" w:rsidP="001130CB">
            <w:pPr>
              <w:autoSpaceDE w:val="0"/>
              <w:autoSpaceDN w:val="0"/>
              <w:adjustRightInd w:val="0"/>
              <w:rPr>
                <w:sz w:val="20"/>
                <w:szCs w:val="20"/>
              </w:rPr>
            </w:pPr>
            <w:r w:rsidRPr="00D50E91">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KK</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100</w:t>
            </w:r>
            <w:r w:rsidR="003528A8">
              <w:rPr>
                <w:sz w:val="20"/>
                <w:szCs w:val="20"/>
              </w:rPr>
              <w:t>-</w:t>
            </w:r>
            <w:r w:rsidRPr="00D50E91">
              <w:rPr>
                <w:sz w:val="20"/>
                <w:szCs w:val="20"/>
              </w:rPr>
              <w:t>nál több férőhely esetén</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igen</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igen</w:t>
            </w:r>
          </w:p>
        </w:tc>
      </w:tr>
      <w:tr w:rsidR="005B415B" w:rsidRPr="00D50E91" w:rsidTr="001130CB">
        <w:tc>
          <w:tcPr>
            <w:tcW w:w="560"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22</w:t>
            </w:r>
          </w:p>
        </w:tc>
        <w:tc>
          <w:tcPr>
            <w:tcW w:w="4534" w:type="dxa"/>
            <w:tcBorders>
              <w:top w:val="nil"/>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rPr>
                <w:sz w:val="20"/>
                <w:szCs w:val="20"/>
              </w:rPr>
            </w:pPr>
            <w:r w:rsidRPr="00D50E91">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MK</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w:t>
            </w:r>
            <w:r w:rsidR="003528A8">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igen</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igen</w:t>
            </w:r>
          </w:p>
        </w:tc>
      </w:tr>
      <w:tr w:rsidR="005B415B" w:rsidRPr="00D50E91" w:rsidTr="001130CB">
        <w:tc>
          <w:tcPr>
            <w:tcW w:w="560"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23</w:t>
            </w:r>
          </w:p>
        </w:tc>
        <w:tc>
          <w:tcPr>
            <w:tcW w:w="4534" w:type="dxa"/>
            <w:tcBorders>
              <w:top w:val="single" w:sz="4" w:space="0" w:color="auto"/>
              <w:left w:val="single" w:sz="4" w:space="0" w:color="auto"/>
              <w:bottom w:val="single" w:sz="4" w:space="0" w:color="auto"/>
              <w:right w:val="single" w:sz="4" w:space="0" w:color="auto"/>
            </w:tcBorders>
          </w:tcPr>
          <w:p w:rsidR="005B415B" w:rsidRPr="00D50E91" w:rsidRDefault="00270DBE" w:rsidP="001130CB">
            <w:pPr>
              <w:autoSpaceDE w:val="0"/>
              <w:autoSpaceDN w:val="0"/>
              <w:adjustRightInd w:val="0"/>
              <w:ind w:left="56" w:right="56"/>
              <w:rPr>
                <w:sz w:val="20"/>
                <w:szCs w:val="20"/>
              </w:rPr>
            </w:pPr>
            <w:r w:rsidRPr="00D50E91">
              <w:rPr>
                <w:sz w:val="20"/>
                <w:szCs w:val="20"/>
              </w:rPr>
              <w:t xml:space="preserve"> F</w:t>
            </w:r>
            <w:r w:rsidR="005B415B" w:rsidRPr="00D50E91">
              <w:rPr>
                <w:sz w:val="20"/>
                <w:szCs w:val="20"/>
              </w:rPr>
              <w:t>ekvőbeteg</w:t>
            </w:r>
            <w:r w:rsidR="003528A8">
              <w:rPr>
                <w:sz w:val="20"/>
                <w:szCs w:val="20"/>
              </w:rPr>
              <w:t>-</w:t>
            </w:r>
            <w:r w:rsidR="005B415B" w:rsidRPr="00D50E91">
              <w:rPr>
                <w:sz w:val="20"/>
                <w:szCs w:val="20"/>
              </w:rPr>
              <w:t>ellátáshoz kapcsolódó műtő</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w:t>
            </w:r>
            <w:r w:rsidR="003528A8">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w:t>
            </w:r>
            <w:r w:rsidR="003528A8">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igen</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trike/>
                <w:sz w:val="20"/>
                <w:szCs w:val="20"/>
              </w:rPr>
            </w:pPr>
            <w:r w:rsidRPr="00D50E91">
              <w:rPr>
                <w:sz w:val="20"/>
                <w:szCs w:val="20"/>
              </w:rPr>
              <w:t xml:space="preserve"> hatósági kötelezés esetén</w:t>
            </w:r>
          </w:p>
        </w:tc>
      </w:tr>
      <w:tr w:rsidR="005B415B" w:rsidRPr="00D50E91" w:rsidTr="001130CB">
        <w:tc>
          <w:tcPr>
            <w:tcW w:w="560"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24</w:t>
            </w:r>
          </w:p>
        </w:tc>
        <w:tc>
          <w:tcPr>
            <w:tcW w:w="9070" w:type="dxa"/>
            <w:gridSpan w:val="5"/>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rPr>
                <w:b/>
                <w:bCs/>
                <w:sz w:val="20"/>
                <w:szCs w:val="20"/>
              </w:rPr>
            </w:pPr>
            <w:r w:rsidRPr="00D50E91">
              <w:rPr>
                <w:sz w:val="20"/>
                <w:szCs w:val="20"/>
              </w:rPr>
              <w:t xml:space="preserve"> </w:t>
            </w:r>
            <w:r w:rsidRPr="00D50E91">
              <w:rPr>
                <w:b/>
                <w:bCs/>
                <w:sz w:val="20"/>
                <w:szCs w:val="20"/>
              </w:rPr>
              <w:t>Hitéleti</w:t>
            </w:r>
          </w:p>
        </w:tc>
      </w:tr>
      <w:tr w:rsidR="005B415B" w:rsidRPr="00D50E91" w:rsidTr="001130CB">
        <w:tc>
          <w:tcPr>
            <w:tcW w:w="560"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25</w:t>
            </w:r>
          </w:p>
        </w:tc>
        <w:tc>
          <w:tcPr>
            <w:tcW w:w="4534" w:type="dxa"/>
            <w:tcBorders>
              <w:top w:val="single" w:sz="4" w:space="0" w:color="auto"/>
              <w:left w:val="single" w:sz="4" w:space="0" w:color="auto"/>
              <w:bottom w:val="nil"/>
              <w:right w:val="single" w:sz="4" w:space="0" w:color="auto"/>
            </w:tcBorders>
          </w:tcPr>
          <w:p w:rsidR="005B415B" w:rsidRPr="00D50E91" w:rsidRDefault="005B415B" w:rsidP="001130CB">
            <w:pPr>
              <w:autoSpaceDE w:val="0"/>
              <w:autoSpaceDN w:val="0"/>
              <w:adjustRightInd w:val="0"/>
              <w:ind w:left="56" w:right="56"/>
              <w:rPr>
                <w:sz w:val="20"/>
                <w:szCs w:val="20"/>
              </w:rPr>
            </w:pPr>
            <w:r w:rsidRPr="00D50E91">
              <w:rPr>
                <w:sz w:val="20"/>
                <w:szCs w:val="20"/>
              </w:rPr>
              <w:t xml:space="preserve"> Templom, zsinagóga, imaház, más hitéleti rendeltetés</w:t>
            </w:r>
          </w:p>
        </w:tc>
        <w:tc>
          <w:tcPr>
            <w:tcW w:w="1134" w:type="dxa"/>
            <w:tcBorders>
              <w:top w:val="single" w:sz="4" w:space="0" w:color="auto"/>
              <w:left w:val="single" w:sz="4" w:space="0" w:color="auto"/>
              <w:bottom w:val="nil"/>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KK</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100 fő helyiség</w:t>
            </w:r>
            <w:r w:rsidR="003528A8">
              <w:rPr>
                <w:sz w:val="20"/>
                <w:szCs w:val="20"/>
              </w:rPr>
              <w:t>-</w:t>
            </w:r>
            <w:r w:rsidRPr="00D50E91">
              <w:rPr>
                <w:sz w:val="20"/>
                <w:szCs w:val="20"/>
              </w:rPr>
              <w:t xml:space="preserve"> befogadó</w:t>
            </w:r>
            <w:r w:rsidR="003528A8">
              <w:rPr>
                <w:sz w:val="20"/>
                <w:szCs w:val="20"/>
              </w:rPr>
              <w:t>-</w:t>
            </w:r>
            <w:r w:rsidRPr="00D50E91">
              <w:rPr>
                <w:sz w:val="20"/>
                <w:szCs w:val="20"/>
              </w:rPr>
              <w:br/>
              <w:t>képesség felett</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igen</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jc w:val="center"/>
              <w:rPr>
                <w:sz w:val="20"/>
                <w:szCs w:val="20"/>
              </w:rPr>
            </w:pPr>
            <w:r w:rsidRPr="00D50E91">
              <w:rPr>
                <w:sz w:val="20"/>
                <w:szCs w:val="20"/>
              </w:rPr>
              <w:t>hatósági kötelezés esetén</w:t>
            </w:r>
          </w:p>
        </w:tc>
      </w:tr>
      <w:tr w:rsidR="005B415B" w:rsidRPr="00D50E91" w:rsidTr="001130CB">
        <w:tc>
          <w:tcPr>
            <w:tcW w:w="560"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26</w:t>
            </w:r>
          </w:p>
        </w:tc>
        <w:tc>
          <w:tcPr>
            <w:tcW w:w="4534" w:type="dxa"/>
            <w:tcBorders>
              <w:top w:val="nil"/>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rPr>
                <w:sz w:val="20"/>
                <w:szCs w:val="20"/>
              </w:rPr>
            </w:pPr>
            <w:r w:rsidRPr="00D50E91">
              <w:rPr>
                <w:sz w:val="20"/>
                <w:szCs w:val="20"/>
              </w:rPr>
              <w:t xml:space="preserve"> </w:t>
            </w:r>
          </w:p>
        </w:tc>
        <w:tc>
          <w:tcPr>
            <w:tcW w:w="1134" w:type="dxa"/>
            <w:tcBorders>
              <w:top w:val="nil"/>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MK</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rPr>
                <w:sz w:val="20"/>
                <w:szCs w:val="20"/>
              </w:rPr>
            </w:pPr>
            <w:r w:rsidRPr="00D50E91">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igen</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jc w:val="center"/>
              <w:rPr>
                <w:sz w:val="20"/>
                <w:szCs w:val="20"/>
              </w:rPr>
            </w:pPr>
            <w:r w:rsidRPr="00D50E91">
              <w:rPr>
                <w:sz w:val="20"/>
                <w:szCs w:val="20"/>
              </w:rPr>
              <w:t>hatósági kötelezés esetén</w:t>
            </w:r>
          </w:p>
        </w:tc>
      </w:tr>
      <w:tr w:rsidR="005B415B" w:rsidRPr="00D50E91" w:rsidTr="001130CB">
        <w:tc>
          <w:tcPr>
            <w:tcW w:w="560"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27</w:t>
            </w:r>
          </w:p>
        </w:tc>
        <w:tc>
          <w:tcPr>
            <w:tcW w:w="9070" w:type="dxa"/>
            <w:gridSpan w:val="5"/>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rPr>
                <w:b/>
                <w:bCs/>
                <w:sz w:val="20"/>
                <w:szCs w:val="20"/>
              </w:rPr>
            </w:pPr>
            <w:r w:rsidRPr="00D50E91">
              <w:rPr>
                <w:sz w:val="20"/>
                <w:szCs w:val="20"/>
              </w:rPr>
              <w:t xml:space="preserve"> </w:t>
            </w:r>
            <w:r w:rsidRPr="00D50E91">
              <w:rPr>
                <w:b/>
                <w:bCs/>
                <w:sz w:val="20"/>
                <w:szCs w:val="20"/>
              </w:rPr>
              <w:t>Kulturális, művelődési, szórakoztató, rendezvényterek</w:t>
            </w:r>
          </w:p>
        </w:tc>
      </w:tr>
      <w:tr w:rsidR="005B415B" w:rsidRPr="00D50E91" w:rsidTr="001130CB">
        <w:tc>
          <w:tcPr>
            <w:tcW w:w="560"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28</w:t>
            </w:r>
          </w:p>
        </w:tc>
        <w:tc>
          <w:tcPr>
            <w:tcW w:w="4534" w:type="dxa"/>
            <w:tcBorders>
              <w:top w:val="single" w:sz="4" w:space="0" w:color="auto"/>
              <w:left w:val="single" w:sz="4" w:space="0" w:color="auto"/>
              <w:bottom w:val="nil"/>
              <w:right w:val="single" w:sz="4" w:space="0" w:color="auto"/>
            </w:tcBorders>
          </w:tcPr>
          <w:p w:rsidR="005B415B" w:rsidRPr="00D50E91" w:rsidRDefault="005B415B" w:rsidP="001130CB">
            <w:pPr>
              <w:autoSpaceDE w:val="0"/>
              <w:autoSpaceDN w:val="0"/>
              <w:adjustRightInd w:val="0"/>
              <w:ind w:left="56" w:right="56"/>
              <w:rPr>
                <w:sz w:val="20"/>
                <w:szCs w:val="20"/>
              </w:rPr>
            </w:pPr>
            <w:r w:rsidRPr="00D50E91">
              <w:rPr>
                <w:sz w:val="20"/>
                <w:szCs w:val="20"/>
              </w:rPr>
              <w:t xml:space="preserve"> Színház, zene</w:t>
            </w:r>
            <w:r w:rsidR="003528A8">
              <w:rPr>
                <w:sz w:val="20"/>
                <w:szCs w:val="20"/>
              </w:rPr>
              <w:t>-</w:t>
            </w:r>
            <w:r w:rsidRPr="00D50E91">
              <w:rPr>
                <w:sz w:val="20"/>
                <w:szCs w:val="20"/>
              </w:rPr>
              <w:t>színház, opera, hangverseny, balett, múzeum, képtár, könyvtár, kultúrház, közösségi ház, mozi, más nézőtérrel vagy anélkül kialakított rendezvénytér</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AK</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100 fő helyiség</w:t>
            </w:r>
            <w:r w:rsidR="003528A8">
              <w:rPr>
                <w:sz w:val="20"/>
                <w:szCs w:val="20"/>
              </w:rPr>
              <w:t>-</w:t>
            </w:r>
            <w:r w:rsidRPr="00D50E91">
              <w:rPr>
                <w:sz w:val="20"/>
                <w:szCs w:val="20"/>
              </w:rPr>
              <w:t xml:space="preserve"> befogadó</w:t>
            </w:r>
            <w:r w:rsidR="003528A8">
              <w:rPr>
                <w:sz w:val="20"/>
                <w:szCs w:val="20"/>
              </w:rPr>
              <w:t>-</w:t>
            </w:r>
            <w:r w:rsidRPr="00D50E91">
              <w:rPr>
                <w:sz w:val="20"/>
                <w:szCs w:val="20"/>
              </w:rPr>
              <w:br/>
              <w:t>képesség felett</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igen</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jc w:val="center"/>
              <w:rPr>
                <w:sz w:val="20"/>
                <w:szCs w:val="20"/>
              </w:rPr>
            </w:pPr>
            <w:r w:rsidRPr="00D50E91">
              <w:rPr>
                <w:sz w:val="20"/>
                <w:szCs w:val="20"/>
              </w:rPr>
              <w:t>hatósági kötelezés esetén</w:t>
            </w:r>
          </w:p>
        </w:tc>
      </w:tr>
      <w:tr w:rsidR="005B415B" w:rsidRPr="00D50E91" w:rsidTr="001130CB">
        <w:tc>
          <w:tcPr>
            <w:tcW w:w="560"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29</w:t>
            </w:r>
          </w:p>
        </w:tc>
        <w:tc>
          <w:tcPr>
            <w:tcW w:w="4534" w:type="dxa"/>
            <w:tcBorders>
              <w:top w:val="nil"/>
              <w:left w:val="single" w:sz="4" w:space="0" w:color="auto"/>
              <w:bottom w:val="nil"/>
              <w:right w:val="single" w:sz="4" w:space="0" w:color="auto"/>
            </w:tcBorders>
          </w:tcPr>
          <w:p w:rsidR="005B415B" w:rsidRPr="00D50E91" w:rsidRDefault="005B415B" w:rsidP="001130CB">
            <w:pPr>
              <w:autoSpaceDE w:val="0"/>
              <w:autoSpaceDN w:val="0"/>
              <w:adjustRightInd w:val="0"/>
              <w:rPr>
                <w:sz w:val="20"/>
                <w:szCs w:val="20"/>
              </w:rPr>
            </w:pPr>
            <w:r w:rsidRPr="00D50E91">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KK</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w:t>
            </w:r>
            <w:r w:rsidR="003528A8">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igen</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jc w:val="center"/>
              <w:rPr>
                <w:sz w:val="20"/>
                <w:szCs w:val="20"/>
              </w:rPr>
            </w:pPr>
            <w:r w:rsidRPr="00D50E91">
              <w:rPr>
                <w:sz w:val="20"/>
                <w:szCs w:val="20"/>
              </w:rPr>
              <w:t>hatósági kötelezés esetén</w:t>
            </w:r>
          </w:p>
        </w:tc>
      </w:tr>
      <w:tr w:rsidR="005B415B" w:rsidRPr="00D50E91" w:rsidTr="001130CB">
        <w:tc>
          <w:tcPr>
            <w:tcW w:w="560"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30</w:t>
            </w:r>
          </w:p>
        </w:tc>
        <w:tc>
          <w:tcPr>
            <w:tcW w:w="4534" w:type="dxa"/>
            <w:tcBorders>
              <w:top w:val="nil"/>
              <w:left w:val="single" w:sz="4" w:space="0" w:color="auto"/>
              <w:bottom w:val="nil"/>
              <w:right w:val="single" w:sz="4" w:space="0" w:color="auto"/>
            </w:tcBorders>
          </w:tcPr>
          <w:p w:rsidR="005B415B" w:rsidRPr="00D50E91" w:rsidRDefault="005B415B" w:rsidP="001130CB">
            <w:pPr>
              <w:autoSpaceDE w:val="0"/>
              <w:autoSpaceDN w:val="0"/>
              <w:adjustRightInd w:val="0"/>
              <w:rPr>
                <w:sz w:val="20"/>
                <w:szCs w:val="20"/>
              </w:rPr>
            </w:pPr>
            <w:r w:rsidRPr="00D50E91">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KK</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270DBE">
            <w:pPr>
              <w:autoSpaceDE w:val="0"/>
              <w:autoSpaceDN w:val="0"/>
              <w:adjustRightInd w:val="0"/>
              <w:ind w:left="56" w:right="56"/>
              <w:jc w:val="center"/>
              <w:rPr>
                <w:sz w:val="20"/>
                <w:szCs w:val="20"/>
              </w:rPr>
            </w:pPr>
            <w:r w:rsidRPr="00D50E91">
              <w:rPr>
                <w:sz w:val="20"/>
                <w:szCs w:val="20"/>
              </w:rPr>
              <w:t>3</w:t>
            </w:r>
            <w:r w:rsidR="00270DBE" w:rsidRPr="00D50E91">
              <w:rPr>
                <w:sz w:val="20"/>
                <w:szCs w:val="20"/>
              </w:rPr>
              <w:t> </w:t>
            </w:r>
            <w:r w:rsidRPr="00D50E91">
              <w:rPr>
                <w:sz w:val="20"/>
                <w:szCs w:val="20"/>
              </w:rPr>
              <w:t>000</w:t>
            </w:r>
            <w:r w:rsidR="00270DBE" w:rsidRPr="00D50E91">
              <w:rPr>
                <w:sz w:val="20"/>
                <w:szCs w:val="20"/>
              </w:rPr>
              <w:t xml:space="preserve"> </w:t>
            </w:r>
            <w:r w:rsidRPr="00D50E91">
              <w:rPr>
                <w:sz w:val="20"/>
                <w:szCs w:val="20"/>
              </w:rPr>
              <w:t xml:space="preserve">fő </w:t>
            </w:r>
            <w:r w:rsidRPr="00D50E91">
              <w:rPr>
                <w:sz w:val="20"/>
                <w:szCs w:val="20"/>
              </w:rPr>
              <w:lastRenderedPageBreak/>
              <w:t>helyiség</w:t>
            </w:r>
            <w:r w:rsidR="003528A8">
              <w:rPr>
                <w:sz w:val="20"/>
                <w:szCs w:val="20"/>
              </w:rPr>
              <w:t>-</w:t>
            </w:r>
            <w:r w:rsidRPr="00D50E91">
              <w:rPr>
                <w:sz w:val="20"/>
                <w:szCs w:val="20"/>
              </w:rPr>
              <w:t xml:space="preserve"> befogadó</w:t>
            </w:r>
            <w:r w:rsidR="003528A8">
              <w:rPr>
                <w:sz w:val="20"/>
                <w:szCs w:val="20"/>
              </w:rPr>
              <w:t>-</w:t>
            </w:r>
            <w:r w:rsidRPr="00D50E91">
              <w:rPr>
                <w:sz w:val="20"/>
                <w:szCs w:val="20"/>
              </w:rPr>
              <w:br/>
              <w:t>képesség felett</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lastRenderedPageBreak/>
              <w:t xml:space="preserve"> igen</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igen</w:t>
            </w:r>
          </w:p>
        </w:tc>
      </w:tr>
      <w:tr w:rsidR="005B415B" w:rsidRPr="00D50E91" w:rsidTr="001130CB">
        <w:tc>
          <w:tcPr>
            <w:tcW w:w="560"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lastRenderedPageBreak/>
              <w:t xml:space="preserve"> 31</w:t>
            </w:r>
          </w:p>
        </w:tc>
        <w:tc>
          <w:tcPr>
            <w:tcW w:w="4534" w:type="dxa"/>
            <w:tcBorders>
              <w:top w:val="nil"/>
              <w:left w:val="single" w:sz="4" w:space="0" w:color="auto"/>
              <w:bottom w:val="nil"/>
              <w:right w:val="single" w:sz="4" w:space="0" w:color="auto"/>
            </w:tcBorders>
          </w:tcPr>
          <w:p w:rsidR="005B415B" w:rsidRPr="00D50E91" w:rsidRDefault="005B415B" w:rsidP="001130CB">
            <w:pPr>
              <w:autoSpaceDE w:val="0"/>
              <w:autoSpaceDN w:val="0"/>
              <w:adjustRightInd w:val="0"/>
              <w:rPr>
                <w:sz w:val="20"/>
                <w:szCs w:val="20"/>
              </w:rPr>
            </w:pPr>
            <w:r w:rsidRPr="00D50E91">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MK</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w:t>
            </w:r>
            <w:r w:rsidR="003528A8">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igen</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igen</w:t>
            </w:r>
          </w:p>
        </w:tc>
      </w:tr>
      <w:tr w:rsidR="005B415B" w:rsidRPr="00D50E91" w:rsidTr="001130CB">
        <w:tc>
          <w:tcPr>
            <w:tcW w:w="560"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32</w:t>
            </w:r>
          </w:p>
        </w:tc>
        <w:tc>
          <w:tcPr>
            <w:tcW w:w="4534" w:type="dxa"/>
            <w:tcBorders>
              <w:top w:val="nil"/>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rPr>
                <w:sz w:val="20"/>
                <w:szCs w:val="20"/>
              </w:rPr>
            </w:pPr>
            <w:r w:rsidRPr="00D50E91">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w:t>
            </w:r>
            <w:r w:rsidR="003528A8">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trike/>
                <w:sz w:val="18"/>
                <w:szCs w:val="18"/>
              </w:rPr>
            </w:pPr>
            <w:r w:rsidRPr="00D50E91">
              <w:rPr>
                <w:strike/>
                <w:sz w:val="20"/>
                <w:szCs w:val="20"/>
              </w:rPr>
              <w:t xml:space="preserve"> </w:t>
            </w:r>
            <w:r w:rsidRPr="00D50E91">
              <w:rPr>
                <w:sz w:val="18"/>
                <w:szCs w:val="18"/>
              </w:rPr>
              <w:t>a színpad belmagassága a színpad padlósíkjától mérve meghaladja a 8 m</w:t>
            </w:r>
            <w:r w:rsidR="003528A8">
              <w:rPr>
                <w:sz w:val="18"/>
                <w:szCs w:val="18"/>
              </w:rPr>
              <w:t>-</w:t>
            </w:r>
            <w:r w:rsidRPr="00D50E91">
              <w:rPr>
                <w:sz w:val="18"/>
                <w:szCs w:val="18"/>
              </w:rPr>
              <w:t>t</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igen</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igen </w:t>
            </w:r>
          </w:p>
          <w:p w:rsidR="005B415B" w:rsidRPr="00D50E91" w:rsidRDefault="005B415B" w:rsidP="001130CB">
            <w:pPr>
              <w:autoSpaceDE w:val="0"/>
              <w:autoSpaceDN w:val="0"/>
              <w:adjustRightInd w:val="0"/>
              <w:ind w:left="56" w:right="56"/>
              <w:jc w:val="center"/>
              <w:rPr>
                <w:sz w:val="20"/>
                <w:szCs w:val="20"/>
              </w:rPr>
            </w:pPr>
            <w:r w:rsidRPr="00D50E91">
              <w:rPr>
                <w:sz w:val="20"/>
                <w:szCs w:val="20"/>
              </w:rPr>
              <w:t>a színpad védelmére</w:t>
            </w:r>
          </w:p>
        </w:tc>
      </w:tr>
      <w:tr w:rsidR="005B415B" w:rsidRPr="00D50E91" w:rsidTr="001130CB">
        <w:tc>
          <w:tcPr>
            <w:tcW w:w="560"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33</w:t>
            </w:r>
          </w:p>
        </w:tc>
        <w:tc>
          <w:tcPr>
            <w:tcW w:w="9070" w:type="dxa"/>
            <w:gridSpan w:val="5"/>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rPr>
                <w:b/>
                <w:bCs/>
                <w:sz w:val="20"/>
                <w:szCs w:val="20"/>
              </w:rPr>
            </w:pPr>
            <w:r w:rsidRPr="00D50E91">
              <w:rPr>
                <w:sz w:val="20"/>
                <w:szCs w:val="20"/>
              </w:rPr>
              <w:t xml:space="preserve"> </w:t>
            </w:r>
            <w:r w:rsidRPr="00D50E91">
              <w:rPr>
                <w:b/>
                <w:bCs/>
                <w:sz w:val="20"/>
                <w:szCs w:val="20"/>
              </w:rPr>
              <w:t>Kényszertartózkodás</w:t>
            </w:r>
          </w:p>
        </w:tc>
      </w:tr>
      <w:tr w:rsidR="005B415B" w:rsidRPr="00D50E91" w:rsidTr="001130CB">
        <w:tc>
          <w:tcPr>
            <w:tcW w:w="560"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34</w:t>
            </w:r>
          </w:p>
        </w:tc>
        <w:tc>
          <w:tcPr>
            <w:tcW w:w="45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rPr>
                <w:sz w:val="20"/>
                <w:szCs w:val="20"/>
              </w:rPr>
            </w:pPr>
            <w:r w:rsidRPr="00D50E91">
              <w:rPr>
                <w:sz w:val="20"/>
                <w:szCs w:val="20"/>
              </w:rPr>
              <w:t xml:space="preserve"> Börtön, fegyház, pszichiátria és más kényszertartózkodás</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AK, KK, MK</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100 fő elhelyezett felett</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igen</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jc w:val="center"/>
              <w:rPr>
                <w:sz w:val="20"/>
                <w:szCs w:val="20"/>
              </w:rPr>
            </w:pPr>
            <w:r w:rsidRPr="00D50E91">
              <w:rPr>
                <w:sz w:val="20"/>
                <w:szCs w:val="20"/>
              </w:rPr>
              <w:t>hatósági kötelezés esetén</w:t>
            </w:r>
          </w:p>
        </w:tc>
      </w:tr>
      <w:tr w:rsidR="005B415B" w:rsidRPr="00D50E91" w:rsidTr="001130CB">
        <w:tc>
          <w:tcPr>
            <w:tcW w:w="560"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35</w:t>
            </w:r>
          </w:p>
        </w:tc>
        <w:tc>
          <w:tcPr>
            <w:tcW w:w="9070" w:type="dxa"/>
            <w:gridSpan w:val="5"/>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rPr>
                <w:b/>
                <w:bCs/>
                <w:sz w:val="20"/>
                <w:szCs w:val="20"/>
              </w:rPr>
            </w:pPr>
            <w:r w:rsidRPr="00D50E91">
              <w:rPr>
                <w:sz w:val="20"/>
                <w:szCs w:val="20"/>
              </w:rPr>
              <w:t xml:space="preserve"> </w:t>
            </w:r>
            <w:r w:rsidRPr="00D50E91">
              <w:rPr>
                <w:b/>
                <w:bCs/>
                <w:sz w:val="20"/>
                <w:szCs w:val="20"/>
              </w:rPr>
              <w:t>Kereskedelmi, szolgáltató</w:t>
            </w:r>
          </w:p>
        </w:tc>
      </w:tr>
      <w:tr w:rsidR="005B415B" w:rsidRPr="00D50E91" w:rsidTr="001130CB">
        <w:tc>
          <w:tcPr>
            <w:tcW w:w="560"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36</w:t>
            </w:r>
          </w:p>
        </w:tc>
        <w:tc>
          <w:tcPr>
            <w:tcW w:w="4534" w:type="dxa"/>
            <w:tcBorders>
              <w:top w:val="single" w:sz="4" w:space="0" w:color="auto"/>
              <w:left w:val="single" w:sz="4" w:space="0" w:color="auto"/>
              <w:bottom w:val="nil"/>
              <w:right w:val="single" w:sz="4" w:space="0" w:color="auto"/>
            </w:tcBorders>
          </w:tcPr>
          <w:p w:rsidR="005B415B" w:rsidRPr="00D50E91" w:rsidRDefault="005B415B" w:rsidP="001130CB">
            <w:pPr>
              <w:autoSpaceDE w:val="0"/>
              <w:autoSpaceDN w:val="0"/>
              <w:adjustRightInd w:val="0"/>
              <w:ind w:left="56" w:right="56"/>
              <w:rPr>
                <w:sz w:val="20"/>
                <w:szCs w:val="20"/>
              </w:rPr>
            </w:pPr>
            <w:r w:rsidRPr="00D50E91">
              <w:rPr>
                <w:sz w:val="20"/>
                <w:szCs w:val="20"/>
              </w:rPr>
              <w:t xml:space="preserve"> Áruház, üzlet, hipermarket, bevásárló központ, vendéglátóhely</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w:t>
            </w:r>
            <w:r w:rsidRPr="00D50E91">
              <w:rPr>
                <w:sz w:val="20"/>
                <w:szCs w:val="20"/>
              </w:rPr>
              <w:br/>
              <w:t>AK, KK</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270DBE">
            <w:pPr>
              <w:autoSpaceDE w:val="0"/>
              <w:autoSpaceDN w:val="0"/>
              <w:adjustRightInd w:val="0"/>
              <w:ind w:left="56" w:right="56"/>
              <w:jc w:val="center"/>
              <w:rPr>
                <w:sz w:val="20"/>
                <w:szCs w:val="20"/>
              </w:rPr>
            </w:pPr>
            <w:r w:rsidRPr="00D50E91">
              <w:rPr>
                <w:sz w:val="20"/>
                <w:szCs w:val="20"/>
              </w:rPr>
              <w:t xml:space="preserve"> 1</w:t>
            </w:r>
            <w:r w:rsidR="00270DBE" w:rsidRPr="00D50E91">
              <w:rPr>
                <w:sz w:val="20"/>
                <w:szCs w:val="20"/>
              </w:rPr>
              <w:t> </w:t>
            </w:r>
            <w:r w:rsidRPr="00D50E91">
              <w:rPr>
                <w:sz w:val="20"/>
                <w:szCs w:val="20"/>
              </w:rPr>
              <w:t>000</w:t>
            </w:r>
            <w:r w:rsidR="00270DBE" w:rsidRPr="00D50E91">
              <w:rPr>
                <w:sz w:val="20"/>
                <w:szCs w:val="20"/>
              </w:rPr>
              <w:t xml:space="preserve"> </w:t>
            </w:r>
            <w:r w:rsidRPr="00D50E91">
              <w:rPr>
                <w:sz w:val="20"/>
                <w:szCs w:val="20"/>
              </w:rPr>
              <w:t>m2</w:t>
            </w:r>
            <w:r w:rsidRPr="00D50E91">
              <w:rPr>
                <w:sz w:val="20"/>
                <w:szCs w:val="20"/>
              </w:rPr>
              <w:br/>
              <w:t>felett</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igen</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jc w:val="center"/>
              <w:rPr>
                <w:sz w:val="20"/>
                <w:szCs w:val="20"/>
              </w:rPr>
            </w:pPr>
            <w:r w:rsidRPr="00D50E91">
              <w:rPr>
                <w:sz w:val="20"/>
                <w:szCs w:val="20"/>
              </w:rPr>
              <w:t>hatósági kötelezés esetén</w:t>
            </w:r>
          </w:p>
        </w:tc>
      </w:tr>
      <w:tr w:rsidR="005B415B" w:rsidRPr="00D50E91" w:rsidTr="001130CB">
        <w:tc>
          <w:tcPr>
            <w:tcW w:w="560"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37</w:t>
            </w:r>
          </w:p>
        </w:tc>
        <w:tc>
          <w:tcPr>
            <w:tcW w:w="4534" w:type="dxa"/>
            <w:tcBorders>
              <w:top w:val="nil"/>
              <w:left w:val="single" w:sz="4" w:space="0" w:color="auto"/>
              <w:bottom w:val="nil"/>
              <w:right w:val="single" w:sz="4" w:space="0" w:color="auto"/>
            </w:tcBorders>
          </w:tcPr>
          <w:p w:rsidR="005B415B" w:rsidRPr="00D50E91" w:rsidRDefault="005B415B" w:rsidP="001130CB">
            <w:pPr>
              <w:autoSpaceDE w:val="0"/>
              <w:autoSpaceDN w:val="0"/>
              <w:adjustRightInd w:val="0"/>
              <w:rPr>
                <w:sz w:val="20"/>
                <w:szCs w:val="20"/>
              </w:rPr>
            </w:pPr>
            <w:r w:rsidRPr="00D50E91">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KK</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270DBE">
            <w:pPr>
              <w:autoSpaceDE w:val="0"/>
              <w:autoSpaceDN w:val="0"/>
              <w:adjustRightInd w:val="0"/>
              <w:ind w:left="56" w:right="56"/>
              <w:jc w:val="center"/>
              <w:rPr>
                <w:sz w:val="20"/>
                <w:szCs w:val="20"/>
              </w:rPr>
            </w:pPr>
            <w:r w:rsidRPr="00D50E91">
              <w:rPr>
                <w:sz w:val="20"/>
                <w:szCs w:val="20"/>
              </w:rPr>
              <w:t xml:space="preserve"> 4</w:t>
            </w:r>
            <w:r w:rsidR="00270DBE" w:rsidRPr="00D50E91">
              <w:rPr>
                <w:sz w:val="20"/>
                <w:szCs w:val="20"/>
              </w:rPr>
              <w:t> </w:t>
            </w:r>
            <w:r w:rsidRPr="00D50E91">
              <w:rPr>
                <w:sz w:val="20"/>
                <w:szCs w:val="20"/>
              </w:rPr>
              <w:t>000</w:t>
            </w:r>
            <w:r w:rsidR="00270DBE" w:rsidRPr="00D50E91">
              <w:rPr>
                <w:sz w:val="20"/>
                <w:szCs w:val="20"/>
              </w:rPr>
              <w:t xml:space="preserve"> </w:t>
            </w:r>
            <w:r w:rsidRPr="00D50E91">
              <w:rPr>
                <w:sz w:val="20"/>
                <w:szCs w:val="20"/>
              </w:rPr>
              <w:t>m2</w:t>
            </w:r>
            <w:r w:rsidRPr="00D50E91">
              <w:rPr>
                <w:sz w:val="20"/>
                <w:szCs w:val="20"/>
              </w:rPr>
              <w:br/>
              <w:t>felett</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igen</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igen</w:t>
            </w:r>
          </w:p>
        </w:tc>
      </w:tr>
      <w:tr w:rsidR="005B415B" w:rsidRPr="00D50E91" w:rsidTr="001130CB">
        <w:tc>
          <w:tcPr>
            <w:tcW w:w="560"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38</w:t>
            </w:r>
          </w:p>
        </w:tc>
        <w:tc>
          <w:tcPr>
            <w:tcW w:w="4534" w:type="dxa"/>
            <w:tcBorders>
              <w:top w:val="nil"/>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rPr>
                <w:sz w:val="20"/>
                <w:szCs w:val="20"/>
              </w:rPr>
            </w:pPr>
            <w:r w:rsidRPr="00D50E91">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MK</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w:t>
            </w:r>
            <w:r w:rsidR="003528A8">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igen</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igen</w:t>
            </w:r>
          </w:p>
        </w:tc>
      </w:tr>
      <w:tr w:rsidR="005B415B" w:rsidRPr="00D50E91" w:rsidTr="001130CB">
        <w:tc>
          <w:tcPr>
            <w:tcW w:w="560"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39</w:t>
            </w:r>
          </w:p>
        </w:tc>
        <w:tc>
          <w:tcPr>
            <w:tcW w:w="45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rPr>
                <w:sz w:val="20"/>
                <w:szCs w:val="20"/>
              </w:rPr>
            </w:pPr>
            <w:r w:rsidRPr="00D50E91">
              <w:rPr>
                <w:sz w:val="20"/>
                <w:szCs w:val="20"/>
              </w:rPr>
              <w:t xml:space="preserve"> Vásárcsarnok, fedett piac</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KK és MK</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270DBE">
            <w:pPr>
              <w:autoSpaceDE w:val="0"/>
              <w:autoSpaceDN w:val="0"/>
              <w:adjustRightInd w:val="0"/>
              <w:ind w:left="56" w:right="56"/>
              <w:jc w:val="center"/>
              <w:rPr>
                <w:sz w:val="20"/>
                <w:szCs w:val="20"/>
              </w:rPr>
            </w:pPr>
            <w:r w:rsidRPr="00D50E91">
              <w:rPr>
                <w:sz w:val="20"/>
                <w:szCs w:val="20"/>
              </w:rPr>
              <w:t xml:space="preserve"> 4</w:t>
            </w:r>
            <w:r w:rsidR="00270DBE" w:rsidRPr="00D50E91">
              <w:rPr>
                <w:sz w:val="20"/>
                <w:szCs w:val="20"/>
              </w:rPr>
              <w:t> </w:t>
            </w:r>
            <w:r w:rsidRPr="00D50E91">
              <w:rPr>
                <w:sz w:val="20"/>
                <w:szCs w:val="20"/>
              </w:rPr>
              <w:t>000</w:t>
            </w:r>
            <w:r w:rsidR="00270DBE" w:rsidRPr="00D50E91">
              <w:rPr>
                <w:sz w:val="20"/>
                <w:szCs w:val="20"/>
              </w:rPr>
              <w:t xml:space="preserve"> </w:t>
            </w:r>
            <w:r w:rsidRPr="00D50E91">
              <w:rPr>
                <w:sz w:val="20"/>
                <w:szCs w:val="20"/>
              </w:rPr>
              <w:t>m2</w:t>
            </w:r>
            <w:r w:rsidRPr="00D50E91">
              <w:rPr>
                <w:sz w:val="20"/>
                <w:szCs w:val="20"/>
              </w:rPr>
              <w:br/>
              <w:t>felett</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igen</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jc w:val="center"/>
              <w:rPr>
                <w:sz w:val="20"/>
                <w:szCs w:val="20"/>
              </w:rPr>
            </w:pPr>
            <w:r w:rsidRPr="00D50E91">
              <w:rPr>
                <w:sz w:val="20"/>
                <w:szCs w:val="20"/>
              </w:rPr>
              <w:t>hatósági kötelezés esetén</w:t>
            </w:r>
          </w:p>
        </w:tc>
      </w:tr>
      <w:tr w:rsidR="005B415B" w:rsidRPr="00D50E91" w:rsidTr="001130CB">
        <w:tc>
          <w:tcPr>
            <w:tcW w:w="560"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40</w:t>
            </w:r>
          </w:p>
        </w:tc>
        <w:tc>
          <w:tcPr>
            <w:tcW w:w="9070" w:type="dxa"/>
            <w:gridSpan w:val="5"/>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rPr>
                <w:b/>
                <w:bCs/>
                <w:sz w:val="20"/>
                <w:szCs w:val="20"/>
              </w:rPr>
            </w:pPr>
            <w:r w:rsidRPr="00D50E91">
              <w:rPr>
                <w:sz w:val="20"/>
                <w:szCs w:val="20"/>
              </w:rPr>
              <w:t xml:space="preserve"> </w:t>
            </w:r>
            <w:r w:rsidRPr="00D50E91">
              <w:rPr>
                <w:b/>
                <w:bCs/>
                <w:sz w:val="20"/>
                <w:szCs w:val="20"/>
              </w:rPr>
              <w:t>Sport</w:t>
            </w:r>
          </w:p>
        </w:tc>
      </w:tr>
      <w:tr w:rsidR="005B415B" w:rsidRPr="00D50E91" w:rsidTr="001130CB">
        <w:tc>
          <w:tcPr>
            <w:tcW w:w="560"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41</w:t>
            </w:r>
          </w:p>
        </w:tc>
        <w:tc>
          <w:tcPr>
            <w:tcW w:w="4534" w:type="dxa"/>
            <w:tcBorders>
              <w:top w:val="single" w:sz="4" w:space="0" w:color="auto"/>
              <w:left w:val="single" w:sz="4" w:space="0" w:color="auto"/>
              <w:bottom w:val="nil"/>
              <w:right w:val="single" w:sz="4" w:space="0" w:color="auto"/>
            </w:tcBorders>
          </w:tcPr>
          <w:p w:rsidR="005B415B" w:rsidRPr="00D50E91" w:rsidRDefault="005B415B" w:rsidP="001130CB">
            <w:pPr>
              <w:autoSpaceDE w:val="0"/>
              <w:autoSpaceDN w:val="0"/>
              <w:adjustRightInd w:val="0"/>
              <w:ind w:left="56" w:right="56"/>
              <w:rPr>
                <w:sz w:val="20"/>
                <w:szCs w:val="20"/>
              </w:rPr>
            </w:pPr>
            <w:r w:rsidRPr="00D50E91">
              <w:rPr>
                <w:sz w:val="20"/>
                <w:szCs w:val="20"/>
              </w:rPr>
              <w:t xml:space="preserve"> Sportcsarnok, uszoda, fedett jégpálya, fedett labdajáték pálya, edzőterem stb.</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NAK és AK</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270DBE">
            <w:pPr>
              <w:autoSpaceDE w:val="0"/>
              <w:autoSpaceDN w:val="0"/>
              <w:adjustRightInd w:val="0"/>
              <w:ind w:left="56" w:right="56"/>
              <w:jc w:val="center"/>
              <w:rPr>
                <w:sz w:val="20"/>
                <w:szCs w:val="20"/>
              </w:rPr>
            </w:pPr>
            <w:r w:rsidRPr="00D50E91">
              <w:rPr>
                <w:sz w:val="20"/>
                <w:szCs w:val="20"/>
              </w:rPr>
              <w:t xml:space="preserve"> 4</w:t>
            </w:r>
            <w:r w:rsidR="00270DBE" w:rsidRPr="00D50E91">
              <w:rPr>
                <w:sz w:val="20"/>
                <w:szCs w:val="20"/>
              </w:rPr>
              <w:t> </w:t>
            </w:r>
            <w:r w:rsidRPr="00D50E91">
              <w:rPr>
                <w:sz w:val="20"/>
                <w:szCs w:val="20"/>
              </w:rPr>
              <w:t>000</w:t>
            </w:r>
            <w:r w:rsidR="00270DBE" w:rsidRPr="00D50E91">
              <w:rPr>
                <w:sz w:val="20"/>
                <w:szCs w:val="20"/>
              </w:rPr>
              <w:t xml:space="preserve"> </w:t>
            </w:r>
            <w:r w:rsidRPr="00D50E91">
              <w:rPr>
                <w:sz w:val="20"/>
                <w:szCs w:val="20"/>
              </w:rPr>
              <w:t>m2</w:t>
            </w:r>
            <w:r w:rsidRPr="00D50E91">
              <w:rPr>
                <w:sz w:val="20"/>
                <w:szCs w:val="20"/>
              </w:rPr>
              <w:br/>
              <w:t>felett</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igen</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jc w:val="center"/>
              <w:rPr>
                <w:sz w:val="20"/>
                <w:szCs w:val="20"/>
              </w:rPr>
            </w:pPr>
            <w:r w:rsidRPr="00D50E91">
              <w:rPr>
                <w:sz w:val="20"/>
                <w:szCs w:val="20"/>
              </w:rPr>
              <w:t>hatósági kötelezés esetén</w:t>
            </w:r>
          </w:p>
        </w:tc>
      </w:tr>
      <w:tr w:rsidR="005B415B" w:rsidRPr="00D50E91" w:rsidTr="001130CB">
        <w:tc>
          <w:tcPr>
            <w:tcW w:w="560"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42</w:t>
            </w:r>
          </w:p>
        </w:tc>
        <w:tc>
          <w:tcPr>
            <w:tcW w:w="4534" w:type="dxa"/>
            <w:tcBorders>
              <w:top w:val="nil"/>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rPr>
                <w:sz w:val="20"/>
                <w:szCs w:val="20"/>
              </w:rPr>
            </w:pPr>
            <w:r w:rsidRPr="00D50E91">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KK és MK</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w:t>
            </w:r>
            <w:r w:rsidR="003528A8">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igen</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rPr>
                <w:sz w:val="20"/>
                <w:szCs w:val="20"/>
              </w:rPr>
            </w:pPr>
            <w:r w:rsidRPr="00D50E91">
              <w:rPr>
                <w:sz w:val="20"/>
                <w:szCs w:val="20"/>
              </w:rPr>
              <w:t xml:space="preserve"> </w:t>
            </w:r>
          </w:p>
        </w:tc>
      </w:tr>
      <w:tr w:rsidR="005B415B" w:rsidRPr="00D50E91" w:rsidTr="001130CB">
        <w:tc>
          <w:tcPr>
            <w:tcW w:w="560"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43</w:t>
            </w:r>
          </w:p>
        </w:tc>
        <w:tc>
          <w:tcPr>
            <w:tcW w:w="9070" w:type="dxa"/>
            <w:gridSpan w:val="5"/>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rPr>
                <w:b/>
                <w:bCs/>
                <w:sz w:val="20"/>
                <w:szCs w:val="20"/>
              </w:rPr>
            </w:pPr>
            <w:r w:rsidRPr="00D50E91">
              <w:rPr>
                <w:sz w:val="20"/>
                <w:szCs w:val="20"/>
              </w:rPr>
              <w:t xml:space="preserve"> </w:t>
            </w:r>
            <w:r w:rsidRPr="00D50E91">
              <w:rPr>
                <w:b/>
                <w:bCs/>
                <w:sz w:val="20"/>
                <w:szCs w:val="20"/>
              </w:rPr>
              <w:t>Közlekedés</w:t>
            </w:r>
          </w:p>
        </w:tc>
      </w:tr>
      <w:tr w:rsidR="005B415B" w:rsidRPr="00D50E91" w:rsidTr="001130CB">
        <w:tc>
          <w:tcPr>
            <w:tcW w:w="560"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44</w:t>
            </w:r>
          </w:p>
        </w:tc>
        <w:tc>
          <w:tcPr>
            <w:tcW w:w="4534" w:type="dxa"/>
            <w:tcBorders>
              <w:top w:val="single" w:sz="4" w:space="0" w:color="auto"/>
              <w:left w:val="single" w:sz="4" w:space="0" w:color="auto"/>
              <w:bottom w:val="nil"/>
              <w:right w:val="single" w:sz="4" w:space="0" w:color="auto"/>
            </w:tcBorders>
          </w:tcPr>
          <w:p w:rsidR="005B415B" w:rsidRPr="00D50E91" w:rsidRDefault="005B415B" w:rsidP="001130CB">
            <w:pPr>
              <w:autoSpaceDE w:val="0"/>
              <w:autoSpaceDN w:val="0"/>
              <w:adjustRightInd w:val="0"/>
              <w:ind w:left="56" w:right="56"/>
              <w:rPr>
                <w:sz w:val="20"/>
                <w:szCs w:val="20"/>
              </w:rPr>
            </w:pPr>
            <w:r w:rsidRPr="00D50E91">
              <w:rPr>
                <w:sz w:val="20"/>
                <w:szCs w:val="20"/>
              </w:rPr>
              <w:t xml:space="preserve"> Közösségi és tömegközlekedési létesítmény közönségforgalmi terei (váróterem, pénztárak stb.)</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AK</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270DBE">
            <w:pPr>
              <w:autoSpaceDE w:val="0"/>
              <w:autoSpaceDN w:val="0"/>
              <w:adjustRightInd w:val="0"/>
              <w:ind w:left="56" w:right="56"/>
              <w:jc w:val="center"/>
              <w:rPr>
                <w:sz w:val="20"/>
                <w:szCs w:val="20"/>
              </w:rPr>
            </w:pPr>
            <w:r w:rsidRPr="00D50E91">
              <w:rPr>
                <w:sz w:val="20"/>
                <w:szCs w:val="20"/>
              </w:rPr>
              <w:t xml:space="preserve"> 2</w:t>
            </w:r>
            <w:r w:rsidR="00270DBE" w:rsidRPr="00D50E91">
              <w:rPr>
                <w:sz w:val="20"/>
                <w:szCs w:val="20"/>
              </w:rPr>
              <w:t> </w:t>
            </w:r>
            <w:r w:rsidRPr="00D50E91">
              <w:rPr>
                <w:sz w:val="20"/>
                <w:szCs w:val="20"/>
              </w:rPr>
              <w:t>000</w:t>
            </w:r>
            <w:r w:rsidR="00270DBE" w:rsidRPr="00D50E91">
              <w:rPr>
                <w:sz w:val="20"/>
                <w:szCs w:val="20"/>
              </w:rPr>
              <w:t xml:space="preserve"> </w:t>
            </w:r>
            <w:r w:rsidRPr="00D50E91">
              <w:rPr>
                <w:sz w:val="20"/>
                <w:szCs w:val="20"/>
              </w:rPr>
              <w:t>m2</w:t>
            </w:r>
            <w:r w:rsidRPr="00D50E91">
              <w:rPr>
                <w:sz w:val="20"/>
                <w:szCs w:val="20"/>
              </w:rPr>
              <w:br/>
              <w:t>felett</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igen</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jc w:val="center"/>
              <w:rPr>
                <w:sz w:val="20"/>
                <w:szCs w:val="20"/>
              </w:rPr>
            </w:pPr>
            <w:r w:rsidRPr="00D50E91">
              <w:rPr>
                <w:sz w:val="20"/>
                <w:szCs w:val="20"/>
              </w:rPr>
              <w:t>hatósági kötelezés esetén</w:t>
            </w:r>
          </w:p>
        </w:tc>
      </w:tr>
      <w:tr w:rsidR="005B415B" w:rsidRPr="00D50E91" w:rsidTr="001130CB">
        <w:tc>
          <w:tcPr>
            <w:tcW w:w="560"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45</w:t>
            </w:r>
          </w:p>
        </w:tc>
        <w:tc>
          <w:tcPr>
            <w:tcW w:w="4534" w:type="dxa"/>
            <w:tcBorders>
              <w:top w:val="nil"/>
              <w:left w:val="single" w:sz="4" w:space="0" w:color="auto"/>
              <w:bottom w:val="nil"/>
              <w:right w:val="single" w:sz="4" w:space="0" w:color="auto"/>
            </w:tcBorders>
          </w:tcPr>
          <w:p w:rsidR="005B415B" w:rsidRPr="00D50E91" w:rsidRDefault="005B415B" w:rsidP="001130CB">
            <w:pPr>
              <w:autoSpaceDE w:val="0"/>
              <w:autoSpaceDN w:val="0"/>
              <w:adjustRightInd w:val="0"/>
              <w:rPr>
                <w:sz w:val="20"/>
                <w:szCs w:val="20"/>
              </w:rPr>
            </w:pPr>
            <w:r w:rsidRPr="00D50E91">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KK</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270DBE">
            <w:pPr>
              <w:autoSpaceDE w:val="0"/>
              <w:autoSpaceDN w:val="0"/>
              <w:adjustRightInd w:val="0"/>
              <w:ind w:left="56" w:right="56"/>
              <w:jc w:val="center"/>
              <w:rPr>
                <w:sz w:val="20"/>
                <w:szCs w:val="20"/>
              </w:rPr>
            </w:pPr>
            <w:r w:rsidRPr="00D50E91">
              <w:rPr>
                <w:sz w:val="20"/>
                <w:szCs w:val="20"/>
              </w:rPr>
              <w:t xml:space="preserve"> 1</w:t>
            </w:r>
            <w:r w:rsidR="00270DBE" w:rsidRPr="00D50E91">
              <w:rPr>
                <w:sz w:val="20"/>
                <w:szCs w:val="20"/>
              </w:rPr>
              <w:t> </w:t>
            </w:r>
            <w:r w:rsidRPr="00D50E91">
              <w:rPr>
                <w:sz w:val="20"/>
                <w:szCs w:val="20"/>
              </w:rPr>
              <w:t>000</w:t>
            </w:r>
            <w:r w:rsidR="00270DBE" w:rsidRPr="00D50E91">
              <w:rPr>
                <w:sz w:val="20"/>
                <w:szCs w:val="20"/>
              </w:rPr>
              <w:t xml:space="preserve"> </w:t>
            </w:r>
            <w:r w:rsidRPr="00D50E91">
              <w:rPr>
                <w:sz w:val="20"/>
                <w:szCs w:val="20"/>
              </w:rPr>
              <w:t>m2</w:t>
            </w:r>
            <w:r w:rsidRPr="00D50E91">
              <w:rPr>
                <w:sz w:val="20"/>
                <w:szCs w:val="20"/>
              </w:rPr>
              <w:br/>
              <w:t>felett</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igen</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jc w:val="center"/>
              <w:rPr>
                <w:sz w:val="20"/>
                <w:szCs w:val="20"/>
              </w:rPr>
            </w:pPr>
            <w:r w:rsidRPr="00D50E91">
              <w:rPr>
                <w:sz w:val="20"/>
                <w:szCs w:val="20"/>
              </w:rPr>
              <w:t>hatósági kötelezés esetén</w:t>
            </w:r>
          </w:p>
        </w:tc>
      </w:tr>
      <w:tr w:rsidR="005B415B" w:rsidRPr="00D50E91" w:rsidTr="001130CB">
        <w:tc>
          <w:tcPr>
            <w:tcW w:w="560"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46</w:t>
            </w:r>
          </w:p>
        </w:tc>
        <w:tc>
          <w:tcPr>
            <w:tcW w:w="4534" w:type="dxa"/>
            <w:tcBorders>
              <w:top w:val="nil"/>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rPr>
                <w:sz w:val="20"/>
                <w:szCs w:val="20"/>
              </w:rPr>
            </w:pPr>
            <w:r w:rsidRPr="00D50E91">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MK</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w:t>
            </w:r>
            <w:r w:rsidR="003528A8">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igen</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jc w:val="center"/>
              <w:rPr>
                <w:sz w:val="20"/>
                <w:szCs w:val="20"/>
              </w:rPr>
            </w:pPr>
            <w:r w:rsidRPr="00D50E91">
              <w:rPr>
                <w:sz w:val="20"/>
                <w:szCs w:val="20"/>
              </w:rPr>
              <w:t>hatósági kötelezés esetén</w:t>
            </w:r>
          </w:p>
        </w:tc>
      </w:tr>
      <w:tr w:rsidR="005B415B" w:rsidRPr="00D50E91" w:rsidTr="001130CB">
        <w:tc>
          <w:tcPr>
            <w:tcW w:w="560"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lastRenderedPageBreak/>
              <w:t xml:space="preserve"> 47</w:t>
            </w:r>
          </w:p>
        </w:tc>
        <w:tc>
          <w:tcPr>
            <w:tcW w:w="45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rPr>
                <w:sz w:val="20"/>
                <w:szCs w:val="20"/>
              </w:rPr>
            </w:pPr>
            <w:r w:rsidRPr="00D50E91">
              <w:rPr>
                <w:sz w:val="20"/>
                <w:szCs w:val="20"/>
              </w:rPr>
              <w:t xml:space="preserve"> Közforgalmú gyalogos aluljáróban lévő kereskedelmi, szolgáltató, vendéglátó zárt helyiség</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w:t>
            </w:r>
            <w:r w:rsidR="003528A8">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az aluljáróban lévő üzletek összesített alapterülete meghaladja az 500 m2</w:t>
            </w:r>
            <w:r w:rsidR="003528A8">
              <w:rPr>
                <w:sz w:val="20"/>
                <w:szCs w:val="20"/>
              </w:rPr>
              <w:t>-</w:t>
            </w:r>
            <w:r w:rsidRPr="00D50E91">
              <w:rPr>
                <w:sz w:val="20"/>
                <w:szCs w:val="20"/>
              </w:rPr>
              <w:t>t</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right="56"/>
              <w:jc w:val="center"/>
              <w:rPr>
                <w:sz w:val="20"/>
                <w:szCs w:val="20"/>
              </w:rPr>
            </w:pPr>
            <w:r w:rsidRPr="00D50E91">
              <w:rPr>
                <w:sz w:val="20"/>
                <w:szCs w:val="20"/>
              </w:rPr>
              <w:t xml:space="preserve"> igen</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jc w:val="center"/>
              <w:rPr>
                <w:sz w:val="20"/>
                <w:szCs w:val="20"/>
              </w:rPr>
            </w:pPr>
            <w:r w:rsidRPr="00D50E91">
              <w:rPr>
                <w:sz w:val="20"/>
                <w:szCs w:val="20"/>
              </w:rPr>
              <w:t>hatósági kötelezés esetén</w:t>
            </w:r>
          </w:p>
        </w:tc>
      </w:tr>
      <w:tr w:rsidR="005B415B" w:rsidRPr="00D50E91" w:rsidTr="001130CB">
        <w:tc>
          <w:tcPr>
            <w:tcW w:w="560"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48</w:t>
            </w:r>
          </w:p>
        </w:tc>
        <w:tc>
          <w:tcPr>
            <w:tcW w:w="45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rPr>
                <w:sz w:val="20"/>
                <w:szCs w:val="20"/>
              </w:rPr>
            </w:pPr>
            <w:r w:rsidRPr="00D50E91">
              <w:rPr>
                <w:sz w:val="20"/>
                <w:szCs w:val="20"/>
              </w:rPr>
              <w:t xml:space="preserve"> Felszín alatti vasút, közönségforgalmi, üzemi területek zárt terei</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w:t>
            </w:r>
            <w:r w:rsidR="003528A8">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w:t>
            </w:r>
            <w:r w:rsidR="003528A8">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igen</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igen</w:t>
            </w:r>
            <w:r w:rsidRPr="00D50E91">
              <w:rPr>
                <w:sz w:val="20"/>
                <w:szCs w:val="20"/>
              </w:rPr>
              <w:br/>
              <w:t>[a 118. § (2) és 121. § (5) bekezdések</w:t>
            </w:r>
            <w:r w:rsidR="003528A8">
              <w:rPr>
                <w:sz w:val="20"/>
                <w:szCs w:val="20"/>
              </w:rPr>
              <w:t>-</w:t>
            </w:r>
            <w:r w:rsidRPr="00D50E91">
              <w:rPr>
                <w:sz w:val="20"/>
                <w:szCs w:val="20"/>
              </w:rPr>
              <w:br/>
              <w:t>ben</w:t>
            </w:r>
            <w:r w:rsidRPr="00D50E91">
              <w:rPr>
                <w:sz w:val="20"/>
                <w:szCs w:val="20"/>
              </w:rPr>
              <w:br/>
              <w:t>meghatáro</w:t>
            </w:r>
            <w:r w:rsidR="003528A8">
              <w:rPr>
                <w:sz w:val="20"/>
                <w:szCs w:val="20"/>
              </w:rPr>
              <w:t>-</w:t>
            </w:r>
            <w:r w:rsidRPr="00D50E91">
              <w:rPr>
                <w:sz w:val="20"/>
                <w:szCs w:val="20"/>
              </w:rPr>
              <w:br/>
              <w:t>zottak szerint]</w:t>
            </w:r>
          </w:p>
        </w:tc>
      </w:tr>
      <w:tr w:rsidR="005B415B" w:rsidRPr="00D50E91" w:rsidTr="001130CB">
        <w:tc>
          <w:tcPr>
            <w:tcW w:w="560"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49</w:t>
            </w:r>
          </w:p>
        </w:tc>
        <w:tc>
          <w:tcPr>
            <w:tcW w:w="45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rPr>
                <w:sz w:val="20"/>
                <w:szCs w:val="20"/>
              </w:rPr>
            </w:pPr>
            <w:r w:rsidRPr="00D50E91">
              <w:rPr>
                <w:sz w:val="20"/>
                <w:szCs w:val="20"/>
              </w:rPr>
              <w:t xml:space="preserve"> Közúti alagút</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w:t>
            </w:r>
            <w:r w:rsidR="003528A8">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270DBE">
            <w:pPr>
              <w:autoSpaceDE w:val="0"/>
              <w:autoSpaceDN w:val="0"/>
              <w:adjustRightInd w:val="0"/>
              <w:ind w:left="56" w:right="56"/>
              <w:jc w:val="center"/>
              <w:rPr>
                <w:sz w:val="20"/>
                <w:szCs w:val="20"/>
              </w:rPr>
            </w:pPr>
            <w:r w:rsidRPr="00D50E91">
              <w:rPr>
                <w:sz w:val="20"/>
                <w:szCs w:val="20"/>
              </w:rPr>
              <w:t xml:space="preserve"> 1</w:t>
            </w:r>
            <w:r w:rsidR="00270DBE" w:rsidRPr="00D50E91">
              <w:rPr>
                <w:sz w:val="20"/>
                <w:szCs w:val="20"/>
              </w:rPr>
              <w:t> </w:t>
            </w:r>
            <w:r w:rsidRPr="00D50E91">
              <w:rPr>
                <w:sz w:val="20"/>
                <w:szCs w:val="20"/>
              </w:rPr>
              <w:t>000</w:t>
            </w:r>
            <w:r w:rsidR="00270DBE" w:rsidRPr="00D50E91">
              <w:rPr>
                <w:sz w:val="20"/>
                <w:szCs w:val="20"/>
              </w:rPr>
              <w:t xml:space="preserve"> </w:t>
            </w:r>
            <w:r w:rsidRPr="00D50E91">
              <w:rPr>
                <w:sz w:val="20"/>
                <w:szCs w:val="20"/>
              </w:rPr>
              <w:t>m hosszúság felett</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igen</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jc w:val="center"/>
              <w:rPr>
                <w:sz w:val="20"/>
                <w:szCs w:val="20"/>
              </w:rPr>
            </w:pPr>
            <w:r w:rsidRPr="00D50E91">
              <w:rPr>
                <w:sz w:val="20"/>
                <w:szCs w:val="20"/>
              </w:rPr>
              <w:t>hatósági kötelezés esetén</w:t>
            </w:r>
          </w:p>
        </w:tc>
      </w:tr>
      <w:tr w:rsidR="005B415B" w:rsidRPr="00D50E91" w:rsidTr="001130CB">
        <w:tc>
          <w:tcPr>
            <w:tcW w:w="560"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50</w:t>
            </w:r>
          </w:p>
        </w:tc>
        <w:tc>
          <w:tcPr>
            <w:tcW w:w="9070" w:type="dxa"/>
            <w:gridSpan w:val="5"/>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rPr>
                <w:b/>
                <w:bCs/>
                <w:sz w:val="20"/>
                <w:szCs w:val="20"/>
              </w:rPr>
            </w:pPr>
            <w:r w:rsidRPr="00D50E91">
              <w:rPr>
                <w:sz w:val="20"/>
                <w:szCs w:val="20"/>
              </w:rPr>
              <w:t xml:space="preserve"> </w:t>
            </w:r>
            <w:r w:rsidRPr="00D50E91">
              <w:rPr>
                <w:b/>
                <w:bCs/>
                <w:sz w:val="20"/>
                <w:szCs w:val="20"/>
              </w:rPr>
              <w:t>Gépjárműtárolás</w:t>
            </w:r>
          </w:p>
        </w:tc>
      </w:tr>
      <w:tr w:rsidR="005B415B" w:rsidRPr="00D50E91" w:rsidTr="001130CB">
        <w:tc>
          <w:tcPr>
            <w:tcW w:w="560"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51</w:t>
            </w:r>
          </w:p>
        </w:tc>
        <w:tc>
          <w:tcPr>
            <w:tcW w:w="4534" w:type="dxa"/>
            <w:tcBorders>
              <w:top w:val="single" w:sz="4" w:space="0" w:color="auto"/>
              <w:left w:val="single" w:sz="4" w:space="0" w:color="auto"/>
              <w:bottom w:val="nil"/>
              <w:right w:val="single" w:sz="4" w:space="0" w:color="auto"/>
            </w:tcBorders>
          </w:tcPr>
          <w:p w:rsidR="005B415B" w:rsidRPr="00D50E91" w:rsidRDefault="005B415B" w:rsidP="001130CB">
            <w:pPr>
              <w:autoSpaceDE w:val="0"/>
              <w:autoSpaceDN w:val="0"/>
              <w:adjustRightInd w:val="0"/>
              <w:ind w:left="56" w:right="56"/>
              <w:rPr>
                <w:sz w:val="20"/>
                <w:szCs w:val="20"/>
              </w:rPr>
            </w:pPr>
            <w:r w:rsidRPr="00D50E91">
              <w:rPr>
                <w:sz w:val="20"/>
                <w:szCs w:val="20"/>
              </w:rPr>
              <w:t xml:space="preserve"> Zárt gépjármű tároló tűzszakasza</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AK</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60 gépjármű</w:t>
            </w:r>
            <w:r w:rsidRPr="00D50E91">
              <w:rPr>
                <w:sz w:val="20"/>
                <w:szCs w:val="20"/>
              </w:rPr>
              <w:br/>
              <w:t>felett</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Igen</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jc w:val="center"/>
              <w:rPr>
                <w:sz w:val="20"/>
                <w:szCs w:val="20"/>
              </w:rPr>
            </w:pPr>
            <w:r w:rsidRPr="00D50E91">
              <w:rPr>
                <w:sz w:val="20"/>
                <w:szCs w:val="20"/>
              </w:rPr>
              <w:t>hatósági kötelezés esetén</w:t>
            </w:r>
          </w:p>
        </w:tc>
      </w:tr>
      <w:tr w:rsidR="005B415B" w:rsidRPr="00D50E91" w:rsidTr="001130CB">
        <w:tc>
          <w:tcPr>
            <w:tcW w:w="560"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52</w:t>
            </w:r>
          </w:p>
        </w:tc>
        <w:tc>
          <w:tcPr>
            <w:tcW w:w="4534" w:type="dxa"/>
            <w:tcBorders>
              <w:top w:val="nil"/>
              <w:left w:val="single" w:sz="4" w:space="0" w:color="auto"/>
              <w:bottom w:val="nil"/>
              <w:right w:val="single" w:sz="4" w:space="0" w:color="auto"/>
            </w:tcBorders>
          </w:tcPr>
          <w:p w:rsidR="005B415B" w:rsidRPr="00D50E91" w:rsidRDefault="005B415B" w:rsidP="001130CB">
            <w:pPr>
              <w:autoSpaceDE w:val="0"/>
              <w:autoSpaceDN w:val="0"/>
              <w:adjustRightInd w:val="0"/>
              <w:rPr>
                <w:sz w:val="20"/>
                <w:szCs w:val="20"/>
              </w:rPr>
            </w:pPr>
            <w:r w:rsidRPr="00D50E91">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KK</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30 gépjármű</w:t>
            </w:r>
            <w:r w:rsidRPr="00D50E91">
              <w:rPr>
                <w:sz w:val="20"/>
                <w:szCs w:val="20"/>
              </w:rPr>
              <w:br/>
              <w:t>felett</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igen</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jc w:val="center"/>
              <w:rPr>
                <w:sz w:val="20"/>
                <w:szCs w:val="20"/>
              </w:rPr>
            </w:pPr>
            <w:r w:rsidRPr="00D50E91">
              <w:rPr>
                <w:sz w:val="20"/>
                <w:szCs w:val="20"/>
              </w:rPr>
              <w:t>hatósági kötelezés esetén</w:t>
            </w:r>
          </w:p>
        </w:tc>
      </w:tr>
      <w:tr w:rsidR="005B415B" w:rsidRPr="00D50E91" w:rsidTr="001130CB">
        <w:tc>
          <w:tcPr>
            <w:tcW w:w="560"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53</w:t>
            </w:r>
          </w:p>
        </w:tc>
        <w:tc>
          <w:tcPr>
            <w:tcW w:w="4534" w:type="dxa"/>
            <w:tcBorders>
              <w:top w:val="nil"/>
              <w:left w:val="single" w:sz="4" w:space="0" w:color="auto"/>
              <w:bottom w:val="nil"/>
              <w:right w:val="single" w:sz="4" w:space="0" w:color="auto"/>
            </w:tcBorders>
          </w:tcPr>
          <w:p w:rsidR="005B415B" w:rsidRPr="00D50E91" w:rsidRDefault="005B415B" w:rsidP="001130CB">
            <w:pPr>
              <w:autoSpaceDE w:val="0"/>
              <w:autoSpaceDN w:val="0"/>
              <w:adjustRightInd w:val="0"/>
              <w:rPr>
                <w:sz w:val="20"/>
                <w:szCs w:val="20"/>
              </w:rPr>
            </w:pPr>
            <w:r w:rsidRPr="00D50E91">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MK</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15 gépjármű</w:t>
            </w:r>
            <w:r w:rsidRPr="00D50E91">
              <w:rPr>
                <w:sz w:val="20"/>
                <w:szCs w:val="20"/>
              </w:rPr>
              <w:br/>
              <w:t>felett</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igen</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jc w:val="center"/>
              <w:rPr>
                <w:sz w:val="20"/>
                <w:szCs w:val="20"/>
              </w:rPr>
            </w:pPr>
            <w:r w:rsidRPr="00D50E91">
              <w:rPr>
                <w:sz w:val="20"/>
                <w:szCs w:val="20"/>
              </w:rPr>
              <w:t>hatósági kötelezés esetén</w:t>
            </w:r>
          </w:p>
        </w:tc>
      </w:tr>
      <w:tr w:rsidR="005B415B" w:rsidRPr="00D50E91" w:rsidTr="001130CB">
        <w:tc>
          <w:tcPr>
            <w:tcW w:w="560"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54</w:t>
            </w:r>
          </w:p>
        </w:tc>
        <w:tc>
          <w:tcPr>
            <w:tcW w:w="4534" w:type="dxa"/>
            <w:tcBorders>
              <w:top w:val="nil"/>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rPr>
                <w:sz w:val="20"/>
                <w:szCs w:val="20"/>
              </w:rPr>
            </w:pPr>
            <w:r w:rsidRPr="00D50E91">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KK, MK</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100 gépjármű felett</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igen</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igen</w:t>
            </w:r>
          </w:p>
        </w:tc>
      </w:tr>
      <w:tr w:rsidR="005B415B" w:rsidRPr="00D50E91" w:rsidTr="001130CB">
        <w:tc>
          <w:tcPr>
            <w:tcW w:w="560"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55</w:t>
            </w:r>
          </w:p>
        </w:tc>
        <w:tc>
          <w:tcPr>
            <w:tcW w:w="9070" w:type="dxa"/>
            <w:gridSpan w:val="5"/>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rPr>
                <w:b/>
                <w:bCs/>
                <w:sz w:val="20"/>
                <w:szCs w:val="20"/>
              </w:rPr>
            </w:pPr>
            <w:r w:rsidRPr="00D50E91">
              <w:rPr>
                <w:sz w:val="20"/>
                <w:szCs w:val="20"/>
              </w:rPr>
              <w:t xml:space="preserve"> </w:t>
            </w:r>
            <w:r w:rsidRPr="00D50E91">
              <w:rPr>
                <w:b/>
                <w:bCs/>
                <w:sz w:val="20"/>
                <w:szCs w:val="20"/>
              </w:rPr>
              <w:t>Raktározás, tárolás</w:t>
            </w:r>
          </w:p>
        </w:tc>
      </w:tr>
      <w:tr w:rsidR="005B415B" w:rsidRPr="00D50E91" w:rsidTr="001130CB">
        <w:tc>
          <w:tcPr>
            <w:tcW w:w="560"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56</w:t>
            </w:r>
          </w:p>
        </w:tc>
        <w:tc>
          <w:tcPr>
            <w:tcW w:w="4534" w:type="dxa"/>
            <w:tcBorders>
              <w:top w:val="single" w:sz="4" w:space="0" w:color="auto"/>
              <w:left w:val="single" w:sz="4" w:space="0" w:color="auto"/>
              <w:bottom w:val="nil"/>
              <w:right w:val="single" w:sz="4" w:space="0" w:color="auto"/>
            </w:tcBorders>
          </w:tcPr>
          <w:p w:rsidR="005B415B" w:rsidRPr="00D50E91" w:rsidRDefault="005B415B" w:rsidP="001130CB">
            <w:pPr>
              <w:autoSpaceDE w:val="0"/>
              <w:autoSpaceDN w:val="0"/>
              <w:adjustRightInd w:val="0"/>
              <w:ind w:left="56" w:right="56"/>
              <w:rPr>
                <w:sz w:val="20"/>
                <w:szCs w:val="20"/>
              </w:rPr>
            </w:pPr>
            <w:r w:rsidRPr="00D50E91">
              <w:rPr>
                <w:sz w:val="20"/>
                <w:szCs w:val="20"/>
              </w:rPr>
              <w:t xml:space="preserve"> Raktár (kivéve az ömlesztett mezőgazdasági tárlóhelyiséget és nyitott tárolókat)</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AK</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a megenge</w:t>
            </w:r>
            <w:r w:rsidR="003528A8">
              <w:rPr>
                <w:sz w:val="20"/>
                <w:szCs w:val="20"/>
              </w:rPr>
              <w:t>-</w:t>
            </w:r>
            <w:r w:rsidRPr="00D50E91">
              <w:rPr>
                <w:sz w:val="20"/>
                <w:szCs w:val="20"/>
              </w:rPr>
              <w:br/>
              <w:t>dett tűzszakasz méret 50%</w:t>
            </w:r>
            <w:r w:rsidR="003528A8">
              <w:rPr>
                <w:sz w:val="20"/>
                <w:szCs w:val="20"/>
              </w:rPr>
              <w:t>-</w:t>
            </w:r>
            <w:r w:rsidRPr="00D50E91">
              <w:rPr>
                <w:sz w:val="20"/>
                <w:szCs w:val="20"/>
              </w:rPr>
              <w:t>a felett</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igen</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jc w:val="center"/>
              <w:rPr>
                <w:sz w:val="20"/>
                <w:szCs w:val="20"/>
              </w:rPr>
            </w:pPr>
            <w:r w:rsidRPr="00D50E91">
              <w:rPr>
                <w:sz w:val="20"/>
                <w:szCs w:val="20"/>
              </w:rPr>
              <w:t>hatósági kötelezés esetén</w:t>
            </w:r>
          </w:p>
        </w:tc>
      </w:tr>
      <w:tr w:rsidR="005B415B" w:rsidRPr="00D50E91" w:rsidTr="001130CB">
        <w:tc>
          <w:tcPr>
            <w:tcW w:w="560"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57</w:t>
            </w:r>
          </w:p>
        </w:tc>
        <w:tc>
          <w:tcPr>
            <w:tcW w:w="4534" w:type="dxa"/>
            <w:tcBorders>
              <w:top w:val="nil"/>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rPr>
                <w:sz w:val="20"/>
                <w:szCs w:val="20"/>
              </w:rPr>
            </w:pPr>
            <w:r w:rsidRPr="00D50E91">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KK, MK</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w:t>
            </w:r>
            <w:r w:rsidR="003528A8">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igen</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jc w:val="center"/>
              <w:rPr>
                <w:sz w:val="20"/>
                <w:szCs w:val="20"/>
              </w:rPr>
            </w:pPr>
            <w:r w:rsidRPr="00D50E91">
              <w:rPr>
                <w:sz w:val="20"/>
                <w:szCs w:val="20"/>
              </w:rPr>
              <w:t>hatósági kötelezés esetén</w:t>
            </w:r>
          </w:p>
        </w:tc>
      </w:tr>
      <w:tr w:rsidR="005B415B" w:rsidRPr="00D50E91" w:rsidTr="001130CB">
        <w:tc>
          <w:tcPr>
            <w:tcW w:w="560"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lastRenderedPageBreak/>
              <w:t xml:space="preserve"> 59</w:t>
            </w:r>
          </w:p>
        </w:tc>
        <w:tc>
          <w:tcPr>
            <w:tcW w:w="9070" w:type="dxa"/>
            <w:gridSpan w:val="5"/>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rPr>
                <w:b/>
                <w:bCs/>
                <w:sz w:val="20"/>
                <w:szCs w:val="20"/>
              </w:rPr>
            </w:pPr>
            <w:r w:rsidRPr="00D50E91">
              <w:rPr>
                <w:sz w:val="20"/>
                <w:szCs w:val="20"/>
              </w:rPr>
              <w:t xml:space="preserve"> </w:t>
            </w:r>
            <w:r w:rsidRPr="00D50E91">
              <w:rPr>
                <w:b/>
                <w:bCs/>
                <w:sz w:val="20"/>
                <w:szCs w:val="20"/>
              </w:rPr>
              <w:t>Ipari, mezőgazdasági rendeltetés</w:t>
            </w:r>
          </w:p>
        </w:tc>
      </w:tr>
      <w:tr w:rsidR="005B415B" w:rsidRPr="00D50E91" w:rsidTr="001130CB">
        <w:tc>
          <w:tcPr>
            <w:tcW w:w="560"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60</w:t>
            </w:r>
          </w:p>
        </w:tc>
        <w:tc>
          <w:tcPr>
            <w:tcW w:w="45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rPr>
                <w:sz w:val="20"/>
                <w:szCs w:val="20"/>
              </w:rPr>
            </w:pPr>
            <w:r w:rsidRPr="00D50E91">
              <w:rPr>
                <w:sz w:val="20"/>
                <w:szCs w:val="20"/>
              </w:rPr>
              <w:t xml:space="preserve"> Üzemi területek</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trike/>
                <w:sz w:val="20"/>
                <w:szCs w:val="20"/>
              </w:rPr>
            </w:pPr>
            <w:r w:rsidRPr="00D50E91">
              <w:rPr>
                <w:strike/>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rPr>
                <w:strike/>
                <w:sz w:val="20"/>
                <w:szCs w:val="20"/>
              </w:rPr>
            </w:pPr>
            <w:r w:rsidRPr="00D50E91">
              <w:rPr>
                <w:strike/>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trike/>
                <w:sz w:val="20"/>
                <w:szCs w:val="20"/>
              </w:rPr>
            </w:pPr>
            <w:r w:rsidRPr="00D50E91">
              <w:rPr>
                <w:sz w:val="20"/>
                <w:szCs w:val="20"/>
              </w:rPr>
              <w:t>hatósági kötelezés esetén</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trike/>
                <w:sz w:val="20"/>
                <w:szCs w:val="20"/>
              </w:rPr>
            </w:pPr>
            <w:r w:rsidRPr="00D50E91">
              <w:rPr>
                <w:sz w:val="20"/>
                <w:szCs w:val="20"/>
              </w:rPr>
              <w:t>hatósági kötelezés esetén</w:t>
            </w:r>
            <w:r w:rsidRPr="00D50E91" w:rsidDel="00E43474">
              <w:rPr>
                <w:strike/>
                <w:sz w:val="20"/>
                <w:szCs w:val="20"/>
              </w:rPr>
              <w:t xml:space="preserve"> </w:t>
            </w:r>
          </w:p>
        </w:tc>
      </w:tr>
      <w:tr w:rsidR="005B415B" w:rsidRPr="00D50E91" w:rsidTr="001130CB">
        <w:tc>
          <w:tcPr>
            <w:tcW w:w="560"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62</w:t>
            </w:r>
          </w:p>
        </w:tc>
        <w:tc>
          <w:tcPr>
            <w:tcW w:w="9070" w:type="dxa"/>
            <w:gridSpan w:val="5"/>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rPr>
                <w:b/>
                <w:bCs/>
                <w:sz w:val="20"/>
                <w:szCs w:val="20"/>
              </w:rPr>
            </w:pPr>
            <w:r w:rsidRPr="00D50E91">
              <w:rPr>
                <w:sz w:val="20"/>
                <w:szCs w:val="20"/>
              </w:rPr>
              <w:t xml:space="preserve"> </w:t>
            </w:r>
            <w:r w:rsidRPr="00D50E91">
              <w:rPr>
                <w:b/>
                <w:bCs/>
                <w:sz w:val="20"/>
                <w:szCs w:val="20"/>
              </w:rPr>
              <w:t>Egyéb</w:t>
            </w:r>
          </w:p>
        </w:tc>
      </w:tr>
      <w:tr w:rsidR="005B415B" w:rsidRPr="00D50E91" w:rsidTr="001130CB">
        <w:tc>
          <w:tcPr>
            <w:tcW w:w="560" w:type="dxa"/>
            <w:tcBorders>
              <w:top w:val="single" w:sz="4" w:space="0" w:color="auto"/>
              <w:left w:val="single" w:sz="4" w:space="0" w:color="auto"/>
              <w:bottom w:val="nil"/>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63</w:t>
            </w:r>
          </w:p>
        </w:tc>
        <w:tc>
          <w:tcPr>
            <w:tcW w:w="4534" w:type="dxa"/>
            <w:tcBorders>
              <w:top w:val="single" w:sz="4" w:space="0" w:color="auto"/>
              <w:left w:val="single" w:sz="4" w:space="0" w:color="auto"/>
              <w:bottom w:val="nil"/>
              <w:right w:val="single" w:sz="4" w:space="0" w:color="auto"/>
            </w:tcBorders>
          </w:tcPr>
          <w:p w:rsidR="005B415B" w:rsidRPr="00D50E91" w:rsidRDefault="005B415B" w:rsidP="001130CB">
            <w:pPr>
              <w:autoSpaceDE w:val="0"/>
              <w:autoSpaceDN w:val="0"/>
              <w:adjustRightInd w:val="0"/>
              <w:ind w:left="56" w:right="56"/>
              <w:rPr>
                <w:sz w:val="20"/>
                <w:szCs w:val="20"/>
              </w:rPr>
            </w:pPr>
            <w:r w:rsidRPr="00D50E91">
              <w:rPr>
                <w:sz w:val="20"/>
                <w:szCs w:val="20"/>
              </w:rPr>
              <w:t xml:space="preserve"> Olajat, zsiradékot felhasználó, feldolgozó nagykonyhai készülékek</w:t>
            </w:r>
          </w:p>
        </w:tc>
        <w:tc>
          <w:tcPr>
            <w:tcW w:w="1134" w:type="dxa"/>
            <w:tcBorders>
              <w:top w:val="single" w:sz="4" w:space="0" w:color="auto"/>
              <w:left w:val="single" w:sz="4" w:space="0" w:color="auto"/>
              <w:bottom w:val="nil"/>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w:t>
            </w:r>
            <w:r w:rsidR="003528A8">
              <w:rPr>
                <w:sz w:val="20"/>
                <w:szCs w:val="20"/>
              </w:rPr>
              <w:t>-</w:t>
            </w:r>
          </w:p>
        </w:tc>
        <w:tc>
          <w:tcPr>
            <w:tcW w:w="1134" w:type="dxa"/>
            <w:vMerge w:val="restart"/>
            <w:tcBorders>
              <w:top w:val="single" w:sz="4" w:space="0" w:color="auto"/>
              <w:left w:val="single" w:sz="4" w:space="0" w:color="auto"/>
              <w:right w:val="single" w:sz="4" w:space="0" w:color="auto"/>
            </w:tcBorders>
          </w:tcPr>
          <w:p w:rsidR="005B415B" w:rsidRPr="00D50E91" w:rsidRDefault="005B415B" w:rsidP="001130CB">
            <w:pPr>
              <w:autoSpaceDE w:val="0"/>
              <w:autoSpaceDN w:val="0"/>
              <w:adjustRightInd w:val="0"/>
              <w:ind w:left="56" w:right="56"/>
              <w:jc w:val="center"/>
              <w:rPr>
                <w:strike/>
                <w:sz w:val="20"/>
                <w:szCs w:val="20"/>
              </w:rPr>
            </w:pPr>
            <w:r w:rsidRPr="00D50E91">
              <w:rPr>
                <w:sz w:val="20"/>
                <w:szCs w:val="20"/>
              </w:rPr>
              <w:t xml:space="preserve">  </w:t>
            </w:r>
            <w:r w:rsidRPr="00D50E91">
              <w:rPr>
                <w:sz w:val="16"/>
                <w:szCs w:val="16"/>
              </w:rPr>
              <w:t>Az egy csoportba telepített, vagy egy elszívóernyő alá telepített készülékek összteljesít</w:t>
            </w:r>
            <w:r w:rsidR="003528A8">
              <w:rPr>
                <w:sz w:val="16"/>
                <w:szCs w:val="16"/>
              </w:rPr>
              <w:t>-</w:t>
            </w:r>
            <w:r w:rsidRPr="00D50E91">
              <w:rPr>
                <w:sz w:val="16"/>
                <w:szCs w:val="16"/>
              </w:rPr>
              <w:br/>
              <w:t>ménye meghaladja az 50 kW</w:t>
            </w:r>
            <w:r w:rsidR="003528A8">
              <w:rPr>
                <w:sz w:val="16"/>
                <w:szCs w:val="16"/>
              </w:rPr>
              <w:t>-</w:t>
            </w:r>
            <w:r w:rsidRPr="00D50E91">
              <w:rPr>
                <w:sz w:val="16"/>
                <w:szCs w:val="16"/>
              </w:rPr>
              <w:t>ot</w:t>
            </w:r>
          </w:p>
        </w:tc>
        <w:tc>
          <w:tcPr>
            <w:tcW w:w="1134" w:type="dxa"/>
            <w:tcBorders>
              <w:top w:val="single" w:sz="4" w:space="0" w:color="auto"/>
              <w:left w:val="single" w:sz="4" w:space="0" w:color="auto"/>
              <w:bottom w:val="nil"/>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w:t>
            </w:r>
            <w:r w:rsidR="003528A8">
              <w:rPr>
                <w:sz w:val="20"/>
                <w:szCs w:val="20"/>
              </w:rPr>
              <w:t>-</w:t>
            </w:r>
          </w:p>
        </w:tc>
        <w:tc>
          <w:tcPr>
            <w:tcW w:w="1134" w:type="dxa"/>
            <w:tcBorders>
              <w:top w:val="single" w:sz="4" w:space="0" w:color="auto"/>
              <w:left w:val="single" w:sz="4" w:space="0" w:color="auto"/>
              <w:bottom w:val="nil"/>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igen</w:t>
            </w:r>
          </w:p>
        </w:tc>
      </w:tr>
      <w:tr w:rsidR="005B415B" w:rsidRPr="00D50E91" w:rsidTr="001130CB">
        <w:tc>
          <w:tcPr>
            <w:tcW w:w="560" w:type="dxa"/>
            <w:tcBorders>
              <w:top w:val="nil"/>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rPr>
                <w:sz w:val="20"/>
                <w:szCs w:val="20"/>
              </w:rPr>
            </w:pPr>
            <w:r w:rsidRPr="00D50E91">
              <w:rPr>
                <w:sz w:val="20"/>
                <w:szCs w:val="20"/>
              </w:rPr>
              <w:t xml:space="preserve"> </w:t>
            </w:r>
          </w:p>
        </w:tc>
        <w:tc>
          <w:tcPr>
            <w:tcW w:w="4534" w:type="dxa"/>
            <w:tcBorders>
              <w:top w:val="nil"/>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rPr>
                <w:sz w:val="20"/>
                <w:szCs w:val="20"/>
              </w:rPr>
            </w:pPr>
            <w:r w:rsidRPr="00D50E91">
              <w:rPr>
                <w:sz w:val="20"/>
                <w:szCs w:val="20"/>
              </w:rPr>
              <w:t xml:space="preserve"> </w:t>
            </w:r>
          </w:p>
        </w:tc>
        <w:tc>
          <w:tcPr>
            <w:tcW w:w="1134" w:type="dxa"/>
            <w:tcBorders>
              <w:top w:val="nil"/>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rPr>
                <w:sz w:val="20"/>
                <w:szCs w:val="20"/>
              </w:rPr>
            </w:pPr>
            <w:r w:rsidRPr="00D50E91">
              <w:rPr>
                <w:sz w:val="20"/>
                <w:szCs w:val="20"/>
              </w:rPr>
              <w:t xml:space="preserve"> </w:t>
            </w:r>
          </w:p>
        </w:tc>
        <w:tc>
          <w:tcPr>
            <w:tcW w:w="1134" w:type="dxa"/>
            <w:vMerge/>
            <w:tcBorders>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16"/>
                <w:szCs w:val="16"/>
              </w:rPr>
            </w:pPr>
          </w:p>
        </w:tc>
        <w:tc>
          <w:tcPr>
            <w:tcW w:w="1134" w:type="dxa"/>
            <w:tcBorders>
              <w:top w:val="nil"/>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rPr>
                <w:sz w:val="20"/>
                <w:szCs w:val="20"/>
              </w:rPr>
            </w:pPr>
            <w:r w:rsidRPr="00D50E91">
              <w:rPr>
                <w:sz w:val="20"/>
                <w:szCs w:val="20"/>
              </w:rPr>
              <w:t xml:space="preserve"> </w:t>
            </w:r>
          </w:p>
        </w:tc>
        <w:tc>
          <w:tcPr>
            <w:tcW w:w="1134" w:type="dxa"/>
            <w:tcBorders>
              <w:top w:val="nil"/>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rPr>
                <w:sz w:val="20"/>
                <w:szCs w:val="20"/>
              </w:rPr>
            </w:pPr>
            <w:r w:rsidRPr="00D50E91">
              <w:rPr>
                <w:sz w:val="20"/>
                <w:szCs w:val="20"/>
              </w:rPr>
              <w:t xml:space="preserve"> </w:t>
            </w:r>
          </w:p>
        </w:tc>
      </w:tr>
      <w:tr w:rsidR="005B415B" w:rsidRPr="00D50E91" w:rsidTr="001130CB">
        <w:tc>
          <w:tcPr>
            <w:tcW w:w="560"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64</w:t>
            </w:r>
          </w:p>
        </w:tc>
        <w:tc>
          <w:tcPr>
            <w:tcW w:w="45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rPr>
                <w:sz w:val="20"/>
                <w:szCs w:val="20"/>
              </w:rPr>
            </w:pPr>
            <w:r w:rsidRPr="00D50E91">
              <w:rPr>
                <w:sz w:val="20"/>
                <w:szCs w:val="20"/>
              </w:rPr>
              <w:t xml:space="preserve"> Az épületek alatt kialakított üzemanyagtöltő állomás (a kútoszlopok hatáskörzetében, valamint a töltőakna és dómakna veszélyességi övezetében)</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w:t>
            </w:r>
            <w:r w:rsidR="003528A8">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w:t>
            </w:r>
            <w:r w:rsidR="003528A8">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igen</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igen</w:t>
            </w:r>
          </w:p>
        </w:tc>
      </w:tr>
      <w:tr w:rsidR="005B415B" w:rsidRPr="00D50E91" w:rsidTr="001130CB">
        <w:tc>
          <w:tcPr>
            <w:tcW w:w="560"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65</w:t>
            </w:r>
          </w:p>
        </w:tc>
        <w:tc>
          <w:tcPr>
            <w:tcW w:w="45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rPr>
                <w:sz w:val="20"/>
                <w:szCs w:val="20"/>
              </w:rPr>
            </w:pPr>
            <w:r w:rsidRPr="00D50E91">
              <w:rPr>
                <w:sz w:val="20"/>
                <w:szCs w:val="20"/>
              </w:rPr>
              <w:t xml:space="preserve"> Zárt konténeres I. tűzveszélyességi fokozatú üzemanyag kimérésére szolgáló üzemanyagtöltő állomás zárt tere</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w:t>
            </w:r>
            <w:r w:rsidR="003528A8">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w:t>
            </w:r>
            <w:r w:rsidR="003528A8">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rPr>
                <w:sz w:val="20"/>
                <w:szCs w:val="20"/>
              </w:rPr>
            </w:pPr>
            <w:r w:rsidRPr="00D50E91">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1130CB">
            <w:pPr>
              <w:autoSpaceDE w:val="0"/>
              <w:autoSpaceDN w:val="0"/>
              <w:adjustRightInd w:val="0"/>
              <w:ind w:left="56" w:right="56"/>
              <w:jc w:val="center"/>
              <w:rPr>
                <w:sz w:val="20"/>
                <w:szCs w:val="20"/>
              </w:rPr>
            </w:pPr>
            <w:r w:rsidRPr="00D50E91">
              <w:rPr>
                <w:sz w:val="20"/>
                <w:szCs w:val="20"/>
              </w:rPr>
              <w:t xml:space="preserve"> igen</w:t>
            </w:r>
          </w:p>
        </w:tc>
      </w:tr>
    </w:tbl>
    <w:p w:rsidR="005B415B" w:rsidRPr="00D50E91" w:rsidRDefault="005B415B" w:rsidP="00595B18">
      <w:pPr>
        <w:jc w:val="both"/>
      </w:pPr>
    </w:p>
    <w:p w:rsidR="005B415B" w:rsidRPr="00D50E91" w:rsidRDefault="005B415B" w:rsidP="00595B18">
      <w:pPr>
        <w:jc w:val="both"/>
      </w:pPr>
    </w:p>
    <w:p w:rsidR="005B415B" w:rsidRPr="00D50E91" w:rsidRDefault="005B415B">
      <w:pPr>
        <w:spacing w:after="200" w:line="276" w:lineRule="auto"/>
      </w:pPr>
      <w:r w:rsidRPr="00D50E91">
        <w:br w:type="page"/>
      </w:r>
    </w:p>
    <w:p w:rsidR="005B415B" w:rsidRPr="00D50E91" w:rsidRDefault="005B415B" w:rsidP="00282674">
      <w:pPr>
        <w:autoSpaceDE w:val="0"/>
        <w:autoSpaceDN w:val="0"/>
        <w:adjustRightInd w:val="0"/>
        <w:jc w:val="right"/>
        <w:rPr>
          <w:i/>
        </w:rPr>
      </w:pPr>
      <w:r w:rsidRPr="00D50E91">
        <w:rPr>
          <w:i/>
        </w:rPr>
        <w:lastRenderedPageBreak/>
        <w:t>10. melléklet a …./2018. (……) BM rendelethez</w:t>
      </w:r>
    </w:p>
    <w:p w:rsidR="005B415B" w:rsidRPr="00D50E91" w:rsidRDefault="005B415B" w:rsidP="00282674">
      <w:pPr>
        <w:jc w:val="both"/>
      </w:pPr>
    </w:p>
    <w:p w:rsidR="005B415B" w:rsidRPr="00D50E91" w:rsidRDefault="005B415B" w:rsidP="00282674">
      <w:pPr>
        <w:pStyle w:val="Szvegtrzs"/>
        <w:rPr>
          <w:i/>
        </w:rPr>
      </w:pPr>
      <w:r w:rsidRPr="00D50E91">
        <w:rPr>
          <w:i/>
        </w:rPr>
        <w:t>15. melléklet az 54/2014. (XII. 5.) BM rendelethez</w:t>
      </w:r>
    </w:p>
    <w:p w:rsidR="005B415B" w:rsidRPr="00D50E91" w:rsidRDefault="005B415B" w:rsidP="00282674">
      <w:pPr>
        <w:jc w:val="both"/>
      </w:pPr>
    </w:p>
    <w:p w:rsidR="005B415B" w:rsidRPr="00D50E91" w:rsidRDefault="005B415B" w:rsidP="00282674">
      <w:pPr>
        <w:jc w:val="both"/>
        <w:rPr>
          <w:b/>
          <w:sz w:val="20"/>
          <w:szCs w:val="20"/>
        </w:rPr>
      </w:pPr>
      <w:r w:rsidRPr="00D50E91">
        <w:rPr>
          <w:b/>
          <w:sz w:val="20"/>
          <w:szCs w:val="20"/>
        </w:rPr>
        <w:t>1. táblázat, a Éghető folyadékok és olvadékok tárolására, kimérésére vonatkozó létesítési követelmények fejezethez</w:t>
      </w:r>
    </w:p>
    <w:p w:rsidR="005B415B" w:rsidRPr="00D50E91" w:rsidRDefault="005B415B" w:rsidP="00595B18">
      <w:pPr>
        <w:jc w:val="both"/>
      </w:pPr>
    </w:p>
    <w:p w:rsidR="00406DFF" w:rsidRPr="00D50E91" w:rsidRDefault="005B415B" w:rsidP="001B1A17">
      <w:pPr>
        <w:ind w:right="1560"/>
        <w:jc w:val="center"/>
        <w:rPr>
          <w:i/>
          <w:sz w:val="20"/>
          <w:szCs w:val="20"/>
        </w:rPr>
      </w:pPr>
      <w:r w:rsidRPr="00D50E91">
        <w:rPr>
          <w:i/>
          <w:sz w:val="20"/>
          <w:szCs w:val="20"/>
        </w:rPr>
        <w:t>Az éghető folyadékok és olvadékok tárolására szolgáló tárolótelep védőtávolságai más, nem a tárolótelephez tartozó létesítménytől, építménytől mérve (m)</w:t>
      </w:r>
    </w:p>
    <w:tbl>
      <w:tblPr>
        <w:tblW w:w="13163" w:type="dxa"/>
        <w:tblInd w:w="5" w:type="dxa"/>
        <w:tblLayout w:type="fixed"/>
        <w:tblCellMar>
          <w:left w:w="0" w:type="dxa"/>
          <w:right w:w="0" w:type="dxa"/>
        </w:tblCellMar>
        <w:tblLook w:val="0000" w:firstRow="0" w:lastRow="0" w:firstColumn="0" w:lastColumn="0" w:noHBand="0" w:noVBand="0"/>
      </w:tblPr>
      <w:tblGrid>
        <w:gridCol w:w="557"/>
        <w:gridCol w:w="3676"/>
        <w:gridCol w:w="992"/>
        <w:gridCol w:w="992"/>
        <w:gridCol w:w="1056"/>
        <w:gridCol w:w="929"/>
        <w:gridCol w:w="992"/>
        <w:gridCol w:w="996"/>
        <w:gridCol w:w="989"/>
        <w:gridCol w:w="992"/>
        <w:gridCol w:w="992"/>
      </w:tblGrid>
      <w:tr w:rsidR="00406DFF" w:rsidRPr="00D50E91" w:rsidTr="00406DFF">
        <w:tc>
          <w:tcPr>
            <w:tcW w:w="557" w:type="dxa"/>
            <w:tcBorders>
              <w:top w:val="single" w:sz="4" w:space="0" w:color="auto"/>
              <w:left w:val="single" w:sz="4" w:space="0" w:color="auto"/>
              <w:bottom w:val="single" w:sz="4" w:space="0" w:color="auto"/>
              <w:right w:val="single" w:sz="4" w:space="0" w:color="auto"/>
            </w:tcBorders>
          </w:tcPr>
          <w:p w:rsidR="00406DFF" w:rsidRPr="00D50E91" w:rsidRDefault="00406DFF" w:rsidP="00406DFF">
            <w:pPr>
              <w:autoSpaceDE w:val="0"/>
              <w:autoSpaceDN w:val="0"/>
              <w:adjustRightInd w:val="0"/>
              <w:ind w:left="56" w:right="56"/>
              <w:jc w:val="center"/>
              <w:rPr>
                <w:sz w:val="20"/>
                <w:szCs w:val="20"/>
              </w:rPr>
            </w:pPr>
          </w:p>
        </w:tc>
        <w:tc>
          <w:tcPr>
            <w:tcW w:w="3676" w:type="dxa"/>
            <w:tcBorders>
              <w:top w:val="single" w:sz="4" w:space="0" w:color="auto"/>
              <w:left w:val="single" w:sz="4" w:space="0" w:color="auto"/>
              <w:bottom w:val="single" w:sz="4" w:space="0" w:color="auto"/>
              <w:right w:val="single" w:sz="4" w:space="0" w:color="auto"/>
            </w:tcBorders>
          </w:tcPr>
          <w:p w:rsidR="00406DFF" w:rsidRPr="00D50E91" w:rsidRDefault="00406DFF" w:rsidP="00406DFF">
            <w:pPr>
              <w:autoSpaceDE w:val="0"/>
              <w:autoSpaceDN w:val="0"/>
              <w:adjustRightInd w:val="0"/>
              <w:ind w:left="56" w:right="56"/>
              <w:jc w:val="center"/>
              <w:rPr>
                <w:sz w:val="20"/>
                <w:szCs w:val="20"/>
              </w:rPr>
            </w:pPr>
            <w:r w:rsidRPr="00D50E91">
              <w:rPr>
                <w:sz w:val="20"/>
                <w:szCs w:val="20"/>
              </w:rPr>
              <w:t>A</w:t>
            </w:r>
          </w:p>
        </w:tc>
        <w:tc>
          <w:tcPr>
            <w:tcW w:w="992" w:type="dxa"/>
            <w:tcBorders>
              <w:top w:val="single" w:sz="4" w:space="0" w:color="auto"/>
              <w:left w:val="single" w:sz="4" w:space="0" w:color="auto"/>
              <w:bottom w:val="single" w:sz="4" w:space="0" w:color="auto"/>
              <w:right w:val="single" w:sz="4" w:space="0" w:color="auto"/>
            </w:tcBorders>
          </w:tcPr>
          <w:p w:rsidR="00406DFF" w:rsidRPr="00D50E91" w:rsidRDefault="00406DFF" w:rsidP="00406DFF">
            <w:pPr>
              <w:autoSpaceDE w:val="0"/>
              <w:autoSpaceDN w:val="0"/>
              <w:adjustRightInd w:val="0"/>
              <w:ind w:left="56" w:right="56"/>
              <w:jc w:val="center"/>
              <w:rPr>
                <w:sz w:val="20"/>
                <w:szCs w:val="20"/>
              </w:rPr>
            </w:pPr>
            <w:r w:rsidRPr="00D50E91">
              <w:rPr>
                <w:sz w:val="20"/>
                <w:szCs w:val="20"/>
              </w:rPr>
              <w:t>B</w:t>
            </w:r>
          </w:p>
        </w:tc>
        <w:tc>
          <w:tcPr>
            <w:tcW w:w="992" w:type="dxa"/>
            <w:tcBorders>
              <w:top w:val="single" w:sz="4" w:space="0" w:color="auto"/>
              <w:left w:val="single" w:sz="4" w:space="0" w:color="auto"/>
              <w:bottom w:val="single" w:sz="4" w:space="0" w:color="auto"/>
              <w:right w:val="single" w:sz="4" w:space="0" w:color="auto"/>
            </w:tcBorders>
          </w:tcPr>
          <w:p w:rsidR="00406DFF" w:rsidRPr="00D50E91" w:rsidRDefault="00406DFF" w:rsidP="00406DFF">
            <w:pPr>
              <w:autoSpaceDE w:val="0"/>
              <w:autoSpaceDN w:val="0"/>
              <w:adjustRightInd w:val="0"/>
              <w:ind w:left="56" w:right="56"/>
              <w:jc w:val="center"/>
              <w:rPr>
                <w:sz w:val="20"/>
                <w:szCs w:val="20"/>
              </w:rPr>
            </w:pPr>
            <w:r w:rsidRPr="00D50E91">
              <w:rPr>
                <w:sz w:val="20"/>
                <w:szCs w:val="20"/>
              </w:rPr>
              <w:t>C</w:t>
            </w:r>
          </w:p>
        </w:tc>
        <w:tc>
          <w:tcPr>
            <w:tcW w:w="1056" w:type="dxa"/>
            <w:tcBorders>
              <w:top w:val="single" w:sz="4" w:space="0" w:color="auto"/>
              <w:left w:val="single" w:sz="4" w:space="0" w:color="auto"/>
              <w:bottom w:val="single" w:sz="4" w:space="0" w:color="auto"/>
              <w:right w:val="single" w:sz="4" w:space="0" w:color="auto"/>
            </w:tcBorders>
          </w:tcPr>
          <w:p w:rsidR="00406DFF" w:rsidRPr="00D50E91" w:rsidRDefault="00406DFF" w:rsidP="00406DFF">
            <w:pPr>
              <w:autoSpaceDE w:val="0"/>
              <w:autoSpaceDN w:val="0"/>
              <w:adjustRightInd w:val="0"/>
              <w:ind w:left="56" w:right="56"/>
              <w:jc w:val="center"/>
              <w:rPr>
                <w:sz w:val="20"/>
                <w:szCs w:val="20"/>
              </w:rPr>
            </w:pPr>
            <w:r w:rsidRPr="00D50E91">
              <w:rPr>
                <w:sz w:val="20"/>
                <w:szCs w:val="20"/>
              </w:rPr>
              <w:t>D</w:t>
            </w:r>
          </w:p>
        </w:tc>
        <w:tc>
          <w:tcPr>
            <w:tcW w:w="929" w:type="dxa"/>
            <w:tcBorders>
              <w:top w:val="single" w:sz="4" w:space="0" w:color="auto"/>
              <w:left w:val="single" w:sz="4" w:space="0" w:color="auto"/>
              <w:bottom w:val="single" w:sz="4" w:space="0" w:color="auto"/>
              <w:right w:val="single" w:sz="4" w:space="0" w:color="auto"/>
            </w:tcBorders>
          </w:tcPr>
          <w:p w:rsidR="00406DFF" w:rsidRPr="00D50E91" w:rsidRDefault="00406DFF" w:rsidP="00406DFF">
            <w:pPr>
              <w:autoSpaceDE w:val="0"/>
              <w:autoSpaceDN w:val="0"/>
              <w:adjustRightInd w:val="0"/>
              <w:ind w:left="56" w:right="56"/>
              <w:jc w:val="center"/>
              <w:rPr>
                <w:sz w:val="20"/>
                <w:szCs w:val="20"/>
              </w:rPr>
            </w:pPr>
            <w:r w:rsidRPr="00D50E91">
              <w:rPr>
                <w:sz w:val="20"/>
                <w:szCs w:val="20"/>
              </w:rPr>
              <w:t>E</w:t>
            </w:r>
          </w:p>
        </w:tc>
        <w:tc>
          <w:tcPr>
            <w:tcW w:w="992" w:type="dxa"/>
            <w:tcBorders>
              <w:top w:val="single" w:sz="4" w:space="0" w:color="auto"/>
              <w:left w:val="single" w:sz="4" w:space="0" w:color="auto"/>
              <w:bottom w:val="single" w:sz="4" w:space="0" w:color="auto"/>
              <w:right w:val="single" w:sz="4" w:space="0" w:color="auto"/>
            </w:tcBorders>
          </w:tcPr>
          <w:p w:rsidR="00406DFF" w:rsidRPr="00D50E91" w:rsidRDefault="00406DFF" w:rsidP="00406DFF">
            <w:pPr>
              <w:autoSpaceDE w:val="0"/>
              <w:autoSpaceDN w:val="0"/>
              <w:adjustRightInd w:val="0"/>
              <w:ind w:left="56" w:right="56"/>
              <w:jc w:val="center"/>
              <w:rPr>
                <w:sz w:val="20"/>
                <w:szCs w:val="20"/>
              </w:rPr>
            </w:pPr>
            <w:r w:rsidRPr="00D50E91">
              <w:rPr>
                <w:sz w:val="20"/>
                <w:szCs w:val="20"/>
              </w:rPr>
              <w:t>F</w:t>
            </w:r>
          </w:p>
        </w:tc>
        <w:tc>
          <w:tcPr>
            <w:tcW w:w="996" w:type="dxa"/>
            <w:tcBorders>
              <w:top w:val="single" w:sz="4" w:space="0" w:color="auto"/>
              <w:left w:val="single" w:sz="4" w:space="0" w:color="auto"/>
              <w:bottom w:val="single" w:sz="4" w:space="0" w:color="auto"/>
              <w:right w:val="single" w:sz="4" w:space="0" w:color="auto"/>
            </w:tcBorders>
          </w:tcPr>
          <w:p w:rsidR="00406DFF" w:rsidRPr="00D50E91" w:rsidRDefault="00406DFF" w:rsidP="00406DFF">
            <w:pPr>
              <w:autoSpaceDE w:val="0"/>
              <w:autoSpaceDN w:val="0"/>
              <w:adjustRightInd w:val="0"/>
              <w:ind w:left="56" w:right="56"/>
              <w:jc w:val="center"/>
              <w:rPr>
                <w:sz w:val="20"/>
                <w:szCs w:val="20"/>
              </w:rPr>
            </w:pPr>
            <w:r w:rsidRPr="00D50E91">
              <w:rPr>
                <w:sz w:val="20"/>
                <w:szCs w:val="20"/>
              </w:rPr>
              <w:t>G</w:t>
            </w:r>
          </w:p>
        </w:tc>
        <w:tc>
          <w:tcPr>
            <w:tcW w:w="989" w:type="dxa"/>
            <w:tcBorders>
              <w:top w:val="single" w:sz="4" w:space="0" w:color="auto"/>
              <w:left w:val="single" w:sz="4" w:space="0" w:color="auto"/>
              <w:bottom w:val="single" w:sz="4" w:space="0" w:color="auto"/>
              <w:right w:val="single" w:sz="4" w:space="0" w:color="auto"/>
            </w:tcBorders>
          </w:tcPr>
          <w:p w:rsidR="00406DFF" w:rsidRPr="00D50E91" w:rsidRDefault="00406DFF" w:rsidP="00406DFF">
            <w:pPr>
              <w:autoSpaceDE w:val="0"/>
              <w:autoSpaceDN w:val="0"/>
              <w:adjustRightInd w:val="0"/>
              <w:ind w:left="56" w:right="56"/>
              <w:jc w:val="center"/>
              <w:rPr>
                <w:sz w:val="20"/>
                <w:szCs w:val="20"/>
              </w:rPr>
            </w:pPr>
            <w:r w:rsidRPr="00D50E91">
              <w:rPr>
                <w:sz w:val="20"/>
                <w:szCs w:val="20"/>
              </w:rPr>
              <w:t>H</w:t>
            </w:r>
          </w:p>
        </w:tc>
        <w:tc>
          <w:tcPr>
            <w:tcW w:w="992" w:type="dxa"/>
            <w:tcBorders>
              <w:top w:val="single" w:sz="4" w:space="0" w:color="auto"/>
              <w:left w:val="single" w:sz="4" w:space="0" w:color="auto"/>
              <w:bottom w:val="single" w:sz="4" w:space="0" w:color="auto"/>
              <w:right w:val="single" w:sz="4" w:space="0" w:color="auto"/>
            </w:tcBorders>
          </w:tcPr>
          <w:p w:rsidR="00406DFF" w:rsidRPr="00D50E91" w:rsidRDefault="00406DFF" w:rsidP="00406DFF">
            <w:pPr>
              <w:autoSpaceDE w:val="0"/>
              <w:autoSpaceDN w:val="0"/>
              <w:adjustRightInd w:val="0"/>
              <w:ind w:left="56" w:right="56"/>
              <w:jc w:val="center"/>
              <w:rPr>
                <w:sz w:val="20"/>
                <w:szCs w:val="20"/>
              </w:rPr>
            </w:pPr>
            <w:r w:rsidRPr="00D50E91">
              <w:rPr>
                <w:sz w:val="20"/>
                <w:szCs w:val="20"/>
              </w:rPr>
              <w:t>I</w:t>
            </w:r>
          </w:p>
        </w:tc>
        <w:tc>
          <w:tcPr>
            <w:tcW w:w="992" w:type="dxa"/>
            <w:tcBorders>
              <w:top w:val="single" w:sz="4" w:space="0" w:color="auto"/>
              <w:left w:val="single" w:sz="4" w:space="0" w:color="auto"/>
              <w:bottom w:val="single" w:sz="4" w:space="0" w:color="auto"/>
              <w:right w:val="single" w:sz="4" w:space="0" w:color="auto"/>
            </w:tcBorders>
          </w:tcPr>
          <w:p w:rsidR="00406DFF" w:rsidRPr="00D50E91" w:rsidRDefault="00406DFF" w:rsidP="00406DFF">
            <w:pPr>
              <w:autoSpaceDE w:val="0"/>
              <w:autoSpaceDN w:val="0"/>
              <w:adjustRightInd w:val="0"/>
              <w:ind w:left="56" w:right="56"/>
              <w:jc w:val="center"/>
              <w:rPr>
                <w:sz w:val="20"/>
                <w:szCs w:val="20"/>
              </w:rPr>
            </w:pPr>
            <w:r w:rsidRPr="00D50E91">
              <w:rPr>
                <w:sz w:val="20"/>
                <w:szCs w:val="20"/>
              </w:rPr>
              <w:t>J</w:t>
            </w:r>
          </w:p>
        </w:tc>
      </w:tr>
      <w:tr w:rsidR="00406DFF" w:rsidRPr="00D50E91" w:rsidTr="00406DFF">
        <w:tc>
          <w:tcPr>
            <w:tcW w:w="557" w:type="dxa"/>
            <w:tcBorders>
              <w:top w:val="single" w:sz="4" w:space="0" w:color="auto"/>
              <w:left w:val="single" w:sz="4" w:space="0" w:color="auto"/>
              <w:bottom w:val="nil"/>
              <w:right w:val="single" w:sz="4" w:space="0" w:color="auto"/>
            </w:tcBorders>
          </w:tcPr>
          <w:p w:rsidR="00406DFF" w:rsidRPr="00D50E91" w:rsidRDefault="00406DFF" w:rsidP="00406DFF">
            <w:pPr>
              <w:autoSpaceDE w:val="0"/>
              <w:autoSpaceDN w:val="0"/>
              <w:adjustRightInd w:val="0"/>
              <w:jc w:val="center"/>
              <w:rPr>
                <w:sz w:val="20"/>
                <w:szCs w:val="20"/>
              </w:rPr>
            </w:pPr>
            <w:r w:rsidRPr="00D50E91">
              <w:rPr>
                <w:sz w:val="20"/>
                <w:szCs w:val="20"/>
              </w:rPr>
              <w:t xml:space="preserve"> 1</w:t>
            </w:r>
          </w:p>
        </w:tc>
        <w:tc>
          <w:tcPr>
            <w:tcW w:w="3676" w:type="dxa"/>
            <w:tcBorders>
              <w:top w:val="single" w:sz="4" w:space="0" w:color="auto"/>
              <w:left w:val="single" w:sz="4" w:space="0" w:color="auto"/>
              <w:bottom w:val="nil"/>
              <w:right w:val="single" w:sz="4" w:space="0" w:color="auto"/>
            </w:tcBorders>
          </w:tcPr>
          <w:p w:rsidR="00406DFF" w:rsidRPr="00D50E91" w:rsidRDefault="00406DFF" w:rsidP="00C65880">
            <w:pPr>
              <w:autoSpaceDE w:val="0"/>
              <w:autoSpaceDN w:val="0"/>
              <w:adjustRightInd w:val="0"/>
              <w:rPr>
                <w:sz w:val="20"/>
                <w:szCs w:val="20"/>
              </w:rPr>
            </w:pPr>
          </w:p>
        </w:tc>
        <w:tc>
          <w:tcPr>
            <w:tcW w:w="3040" w:type="dxa"/>
            <w:gridSpan w:val="3"/>
            <w:tcBorders>
              <w:top w:val="single" w:sz="4" w:space="0" w:color="auto"/>
              <w:left w:val="single" w:sz="4" w:space="0" w:color="auto"/>
              <w:bottom w:val="single" w:sz="4" w:space="0" w:color="auto"/>
              <w:right w:val="single" w:sz="4" w:space="0" w:color="auto"/>
            </w:tcBorders>
          </w:tcPr>
          <w:p w:rsidR="00406DFF" w:rsidRPr="00D50E91" w:rsidRDefault="00406DFF" w:rsidP="00C65880">
            <w:pPr>
              <w:autoSpaceDE w:val="0"/>
              <w:autoSpaceDN w:val="0"/>
              <w:adjustRightInd w:val="0"/>
              <w:ind w:left="56" w:right="56"/>
              <w:jc w:val="center"/>
              <w:rPr>
                <w:sz w:val="20"/>
                <w:szCs w:val="20"/>
              </w:rPr>
            </w:pPr>
            <w:r w:rsidRPr="00D50E91">
              <w:rPr>
                <w:sz w:val="20"/>
                <w:szCs w:val="20"/>
              </w:rPr>
              <w:t xml:space="preserve"> 501 m</w:t>
            </w:r>
            <w:r w:rsidRPr="00D50E91">
              <w:rPr>
                <w:sz w:val="20"/>
                <w:szCs w:val="20"/>
                <w:vertAlign w:val="superscript"/>
              </w:rPr>
              <w:t>3</w:t>
            </w:r>
            <w:r w:rsidR="003528A8">
              <w:rPr>
                <w:sz w:val="20"/>
                <w:szCs w:val="20"/>
              </w:rPr>
              <w:t>-</w:t>
            </w:r>
            <w:r w:rsidRPr="00D50E91">
              <w:rPr>
                <w:sz w:val="20"/>
                <w:szCs w:val="20"/>
              </w:rPr>
              <w:t>10 000 m</w:t>
            </w:r>
            <w:r w:rsidRPr="00D50E91">
              <w:rPr>
                <w:sz w:val="20"/>
                <w:szCs w:val="20"/>
                <w:vertAlign w:val="superscript"/>
              </w:rPr>
              <w:t>3</w:t>
            </w:r>
          </w:p>
        </w:tc>
        <w:tc>
          <w:tcPr>
            <w:tcW w:w="2917" w:type="dxa"/>
            <w:gridSpan w:val="3"/>
            <w:tcBorders>
              <w:top w:val="single" w:sz="4" w:space="0" w:color="auto"/>
              <w:left w:val="single" w:sz="4" w:space="0" w:color="auto"/>
              <w:bottom w:val="single" w:sz="4" w:space="0" w:color="auto"/>
              <w:right w:val="single" w:sz="4" w:space="0" w:color="auto"/>
            </w:tcBorders>
          </w:tcPr>
          <w:p w:rsidR="00406DFF" w:rsidRPr="00D50E91" w:rsidRDefault="00406DFF" w:rsidP="00C65880">
            <w:pPr>
              <w:autoSpaceDE w:val="0"/>
              <w:autoSpaceDN w:val="0"/>
              <w:adjustRightInd w:val="0"/>
              <w:ind w:left="56" w:right="56"/>
              <w:jc w:val="center"/>
              <w:rPr>
                <w:sz w:val="20"/>
                <w:szCs w:val="20"/>
              </w:rPr>
            </w:pPr>
            <w:r w:rsidRPr="00D50E91">
              <w:rPr>
                <w:sz w:val="20"/>
                <w:szCs w:val="20"/>
              </w:rPr>
              <w:t xml:space="preserve"> 10 001 m</w:t>
            </w:r>
            <w:r w:rsidRPr="00D50E91">
              <w:rPr>
                <w:sz w:val="20"/>
                <w:szCs w:val="20"/>
                <w:vertAlign w:val="superscript"/>
              </w:rPr>
              <w:t>3</w:t>
            </w:r>
            <w:r w:rsidR="003528A8">
              <w:rPr>
                <w:sz w:val="20"/>
                <w:szCs w:val="20"/>
              </w:rPr>
              <w:t>-</w:t>
            </w:r>
            <w:r w:rsidRPr="00D50E91">
              <w:rPr>
                <w:sz w:val="20"/>
                <w:szCs w:val="20"/>
              </w:rPr>
              <w:t>40 000 m</w:t>
            </w:r>
            <w:r w:rsidRPr="00D50E91">
              <w:rPr>
                <w:sz w:val="20"/>
                <w:szCs w:val="20"/>
                <w:vertAlign w:val="superscript"/>
              </w:rPr>
              <w:t>3</w:t>
            </w:r>
          </w:p>
        </w:tc>
        <w:tc>
          <w:tcPr>
            <w:tcW w:w="2973" w:type="dxa"/>
            <w:gridSpan w:val="3"/>
            <w:tcBorders>
              <w:top w:val="single" w:sz="4" w:space="0" w:color="auto"/>
              <w:left w:val="single" w:sz="4" w:space="0" w:color="auto"/>
              <w:bottom w:val="single" w:sz="4" w:space="0" w:color="auto"/>
              <w:right w:val="single" w:sz="4" w:space="0" w:color="auto"/>
            </w:tcBorders>
          </w:tcPr>
          <w:p w:rsidR="00406DFF" w:rsidRPr="00D50E91" w:rsidRDefault="00406DFF" w:rsidP="00C65880">
            <w:pPr>
              <w:autoSpaceDE w:val="0"/>
              <w:autoSpaceDN w:val="0"/>
              <w:adjustRightInd w:val="0"/>
              <w:ind w:left="56" w:right="56"/>
              <w:jc w:val="center"/>
              <w:rPr>
                <w:sz w:val="20"/>
                <w:szCs w:val="20"/>
              </w:rPr>
            </w:pPr>
            <w:r w:rsidRPr="00D50E91">
              <w:rPr>
                <w:sz w:val="20"/>
                <w:szCs w:val="20"/>
              </w:rPr>
              <w:t xml:space="preserve"> 40 000 m</w:t>
            </w:r>
            <w:r w:rsidRPr="00D50E91">
              <w:rPr>
                <w:sz w:val="20"/>
                <w:szCs w:val="20"/>
                <w:vertAlign w:val="superscript"/>
              </w:rPr>
              <w:t>3</w:t>
            </w:r>
            <w:r w:rsidRPr="00D50E91">
              <w:rPr>
                <w:sz w:val="20"/>
                <w:szCs w:val="20"/>
              </w:rPr>
              <w:t xml:space="preserve"> feletti</w:t>
            </w:r>
          </w:p>
        </w:tc>
      </w:tr>
      <w:tr w:rsidR="00406DFF" w:rsidRPr="00D50E91" w:rsidTr="00406DFF">
        <w:tc>
          <w:tcPr>
            <w:tcW w:w="557" w:type="dxa"/>
            <w:tcBorders>
              <w:top w:val="nil"/>
              <w:left w:val="single" w:sz="4" w:space="0" w:color="auto"/>
              <w:bottom w:val="nil"/>
              <w:right w:val="single" w:sz="4" w:space="0" w:color="auto"/>
            </w:tcBorders>
          </w:tcPr>
          <w:p w:rsidR="00406DFF" w:rsidRPr="00D50E91" w:rsidRDefault="00406DFF" w:rsidP="00406DFF">
            <w:pPr>
              <w:autoSpaceDE w:val="0"/>
              <w:autoSpaceDN w:val="0"/>
              <w:adjustRightInd w:val="0"/>
              <w:ind w:left="56" w:right="56"/>
              <w:jc w:val="center"/>
              <w:rPr>
                <w:sz w:val="20"/>
                <w:szCs w:val="20"/>
              </w:rPr>
            </w:pPr>
            <w:r w:rsidRPr="00D50E91">
              <w:rPr>
                <w:sz w:val="20"/>
                <w:szCs w:val="20"/>
              </w:rPr>
              <w:t xml:space="preserve"> 2</w:t>
            </w:r>
          </w:p>
        </w:tc>
        <w:tc>
          <w:tcPr>
            <w:tcW w:w="3676" w:type="dxa"/>
            <w:tcBorders>
              <w:top w:val="nil"/>
              <w:left w:val="single" w:sz="4" w:space="0" w:color="auto"/>
              <w:bottom w:val="nil"/>
              <w:right w:val="single" w:sz="4" w:space="0" w:color="auto"/>
            </w:tcBorders>
          </w:tcPr>
          <w:p w:rsidR="00406DFF" w:rsidRPr="00D50E91" w:rsidRDefault="00406DFF" w:rsidP="00C65880">
            <w:pPr>
              <w:autoSpaceDE w:val="0"/>
              <w:autoSpaceDN w:val="0"/>
              <w:adjustRightInd w:val="0"/>
              <w:ind w:left="56" w:right="56"/>
              <w:jc w:val="center"/>
              <w:rPr>
                <w:sz w:val="20"/>
                <w:szCs w:val="20"/>
              </w:rPr>
            </w:pPr>
            <w:r w:rsidRPr="00D50E91">
              <w:rPr>
                <w:sz w:val="20"/>
                <w:szCs w:val="20"/>
              </w:rPr>
              <w:t xml:space="preserve"> Megnevezés</w:t>
            </w:r>
          </w:p>
        </w:tc>
        <w:tc>
          <w:tcPr>
            <w:tcW w:w="8930" w:type="dxa"/>
            <w:gridSpan w:val="9"/>
            <w:tcBorders>
              <w:top w:val="single" w:sz="4" w:space="0" w:color="auto"/>
              <w:left w:val="single" w:sz="4" w:space="0" w:color="auto"/>
              <w:bottom w:val="single" w:sz="4" w:space="0" w:color="auto"/>
              <w:right w:val="single" w:sz="4" w:space="0" w:color="auto"/>
            </w:tcBorders>
          </w:tcPr>
          <w:p w:rsidR="00406DFF" w:rsidRPr="00D50E91" w:rsidRDefault="00406DFF" w:rsidP="00C65880">
            <w:pPr>
              <w:autoSpaceDE w:val="0"/>
              <w:autoSpaceDN w:val="0"/>
              <w:adjustRightInd w:val="0"/>
              <w:ind w:left="56" w:right="56"/>
              <w:jc w:val="center"/>
              <w:rPr>
                <w:sz w:val="20"/>
                <w:szCs w:val="20"/>
              </w:rPr>
            </w:pPr>
            <w:r w:rsidRPr="00D50E91">
              <w:rPr>
                <w:sz w:val="20"/>
                <w:szCs w:val="20"/>
              </w:rPr>
              <w:t xml:space="preserve"> folyadékmennyiséget tároló tárolótelep</w:t>
            </w:r>
          </w:p>
        </w:tc>
      </w:tr>
      <w:tr w:rsidR="00406DFF" w:rsidRPr="00D50E91" w:rsidTr="00406DFF">
        <w:tc>
          <w:tcPr>
            <w:tcW w:w="557" w:type="dxa"/>
            <w:tcBorders>
              <w:top w:val="nil"/>
              <w:left w:val="single" w:sz="4" w:space="0" w:color="auto"/>
              <w:bottom w:val="nil"/>
              <w:right w:val="single" w:sz="4" w:space="0" w:color="auto"/>
            </w:tcBorders>
          </w:tcPr>
          <w:p w:rsidR="00406DFF" w:rsidRPr="00D50E91" w:rsidRDefault="00406DFF" w:rsidP="00406DFF">
            <w:pPr>
              <w:autoSpaceDE w:val="0"/>
              <w:autoSpaceDN w:val="0"/>
              <w:adjustRightInd w:val="0"/>
              <w:jc w:val="center"/>
              <w:rPr>
                <w:sz w:val="20"/>
                <w:szCs w:val="20"/>
              </w:rPr>
            </w:pPr>
            <w:r w:rsidRPr="00D50E91">
              <w:rPr>
                <w:sz w:val="20"/>
                <w:szCs w:val="20"/>
              </w:rPr>
              <w:t xml:space="preserve"> 3</w:t>
            </w:r>
          </w:p>
        </w:tc>
        <w:tc>
          <w:tcPr>
            <w:tcW w:w="3676" w:type="dxa"/>
            <w:tcBorders>
              <w:top w:val="nil"/>
              <w:left w:val="single" w:sz="4" w:space="0" w:color="auto"/>
              <w:bottom w:val="nil"/>
              <w:right w:val="single" w:sz="4" w:space="0" w:color="auto"/>
            </w:tcBorders>
          </w:tcPr>
          <w:p w:rsidR="00406DFF" w:rsidRPr="00D50E91" w:rsidRDefault="00406DFF" w:rsidP="00C65880">
            <w:pPr>
              <w:autoSpaceDE w:val="0"/>
              <w:autoSpaceDN w:val="0"/>
              <w:adjustRightInd w:val="0"/>
              <w:rPr>
                <w:sz w:val="20"/>
                <w:szCs w:val="20"/>
              </w:rPr>
            </w:pPr>
            <w:r w:rsidRPr="00D50E91">
              <w:rPr>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406DFF" w:rsidRPr="00D50E91" w:rsidRDefault="00406DFF" w:rsidP="00C65880">
            <w:pPr>
              <w:autoSpaceDE w:val="0"/>
              <w:autoSpaceDN w:val="0"/>
              <w:adjustRightInd w:val="0"/>
              <w:ind w:left="56" w:right="56"/>
              <w:jc w:val="center"/>
              <w:rPr>
                <w:sz w:val="20"/>
                <w:szCs w:val="20"/>
              </w:rPr>
            </w:pPr>
            <w:r w:rsidRPr="00D50E91">
              <w:rPr>
                <w:sz w:val="20"/>
                <w:szCs w:val="20"/>
              </w:rPr>
              <w:t xml:space="preserve"> I.</w:t>
            </w:r>
          </w:p>
        </w:tc>
        <w:tc>
          <w:tcPr>
            <w:tcW w:w="992" w:type="dxa"/>
            <w:tcBorders>
              <w:top w:val="single" w:sz="4" w:space="0" w:color="auto"/>
              <w:left w:val="single" w:sz="4" w:space="0" w:color="auto"/>
              <w:bottom w:val="single" w:sz="4" w:space="0" w:color="auto"/>
              <w:right w:val="single" w:sz="4" w:space="0" w:color="auto"/>
            </w:tcBorders>
          </w:tcPr>
          <w:p w:rsidR="00406DFF" w:rsidRPr="00D50E91" w:rsidRDefault="00406DFF" w:rsidP="00C65880">
            <w:pPr>
              <w:autoSpaceDE w:val="0"/>
              <w:autoSpaceDN w:val="0"/>
              <w:adjustRightInd w:val="0"/>
              <w:ind w:left="56" w:right="56"/>
              <w:jc w:val="center"/>
              <w:rPr>
                <w:sz w:val="20"/>
                <w:szCs w:val="20"/>
              </w:rPr>
            </w:pPr>
            <w:r w:rsidRPr="00D50E91">
              <w:rPr>
                <w:sz w:val="20"/>
                <w:szCs w:val="20"/>
              </w:rPr>
              <w:t xml:space="preserve"> II.</w:t>
            </w:r>
          </w:p>
        </w:tc>
        <w:tc>
          <w:tcPr>
            <w:tcW w:w="1056" w:type="dxa"/>
            <w:tcBorders>
              <w:top w:val="single" w:sz="4" w:space="0" w:color="auto"/>
              <w:left w:val="single" w:sz="4" w:space="0" w:color="auto"/>
              <w:bottom w:val="single" w:sz="4" w:space="0" w:color="auto"/>
              <w:right w:val="single" w:sz="4" w:space="0" w:color="auto"/>
            </w:tcBorders>
          </w:tcPr>
          <w:p w:rsidR="00406DFF" w:rsidRPr="00D50E91" w:rsidRDefault="00406DFF" w:rsidP="00C65880">
            <w:pPr>
              <w:autoSpaceDE w:val="0"/>
              <w:autoSpaceDN w:val="0"/>
              <w:adjustRightInd w:val="0"/>
              <w:ind w:left="56" w:right="56"/>
              <w:jc w:val="center"/>
              <w:rPr>
                <w:sz w:val="20"/>
                <w:szCs w:val="20"/>
              </w:rPr>
            </w:pPr>
            <w:r w:rsidRPr="00D50E91">
              <w:rPr>
                <w:sz w:val="20"/>
                <w:szCs w:val="20"/>
              </w:rPr>
              <w:t xml:space="preserve"> III.</w:t>
            </w:r>
          </w:p>
        </w:tc>
        <w:tc>
          <w:tcPr>
            <w:tcW w:w="929" w:type="dxa"/>
            <w:tcBorders>
              <w:top w:val="single" w:sz="4" w:space="0" w:color="auto"/>
              <w:left w:val="single" w:sz="4" w:space="0" w:color="auto"/>
              <w:bottom w:val="single" w:sz="4" w:space="0" w:color="auto"/>
              <w:right w:val="single" w:sz="4" w:space="0" w:color="auto"/>
            </w:tcBorders>
          </w:tcPr>
          <w:p w:rsidR="00406DFF" w:rsidRPr="00D50E91" w:rsidRDefault="00406DFF" w:rsidP="00C65880">
            <w:pPr>
              <w:autoSpaceDE w:val="0"/>
              <w:autoSpaceDN w:val="0"/>
              <w:adjustRightInd w:val="0"/>
              <w:ind w:left="56" w:right="56"/>
              <w:jc w:val="center"/>
              <w:rPr>
                <w:sz w:val="20"/>
                <w:szCs w:val="20"/>
              </w:rPr>
            </w:pPr>
            <w:r w:rsidRPr="00D50E91">
              <w:rPr>
                <w:sz w:val="20"/>
                <w:szCs w:val="20"/>
              </w:rPr>
              <w:t xml:space="preserve"> I.</w:t>
            </w:r>
          </w:p>
        </w:tc>
        <w:tc>
          <w:tcPr>
            <w:tcW w:w="992" w:type="dxa"/>
            <w:tcBorders>
              <w:top w:val="single" w:sz="4" w:space="0" w:color="auto"/>
              <w:left w:val="single" w:sz="4" w:space="0" w:color="auto"/>
              <w:bottom w:val="single" w:sz="4" w:space="0" w:color="auto"/>
              <w:right w:val="single" w:sz="4" w:space="0" w:color="auto"/>
            </w:tcBorders>
          </w:tcPr>
          <w:p w:rsidR="00406DFF" w:rsidRPr="00D50E91" w:rsidRDefault="00406DFF" w:rsidP="00C65880">
            <w:pPr>
              <w:autoSpaceDE w:val="0"/>
              <w:autoSpaceDN w:val="0"/>
              <w:adjustRightInd w:val="0"/>
              <w:ind w:left="56" w:right="56"/>
              <w:jc w:val="center"/>
              <w:rPr>
                <w:sz w:val="20"/>
                <w:szCs w:val="20"/>
              </w:rPr>
            </w:pPr>
            <w:r w:rsidRPr="00D50E91">
              <w:rPr>
                <w:sz w:val="20"/>
                <w:szCs w:val="20"/>
              </w:rPr>
              <w:t xml:space="preserve"> II.</w:t>
            </w:r>
          </w:p>
        </w:tc>
        <w:tc>
          <w:tcPr>
            <w:tcW w:w="996" w:type="dxa"/>
            <w:tcBorders>
              <w:top w:val="single" w:sz="4" w:space="0" w:color="auto"/>
              <w:left w:val="single" w:sz="4" w:space="0" w:color="auto"/>
              <w:bottom w:val="single" w:sz="4" w:space="0" w:color="auto"/>
              <w:right w:val="single" w:sz="4" w:space="0" w:color="auto"/>
            </w:tcBorders>
          </w:tcPr>
          <w:p w:rsidR="00406DFF" w:rsidRPr="00D50E91" w:rsidRDefault="00406DFF" w:rsidP="00C65880">
            <w:pPr>
              <w:autoSpaceDE w:val="0"/>
              <w:autoSpaceDN w:val="0"/>
              <w:adjustRightInd w:val="0"/>
              <w:ind w:left="56" w:right="56"/>
              <w:jc w:val="center"/>
              <w:rPr>
                <w:sz w:val="20"/>
                <w:szCs w:val="20"/>
              </w:rPr>
            </w:pPr>
            <w:r w:rsidRPr="00D50E91">
              <w:rPr>
                <w:sz w:val="20"/>
                <w:szCs w:val="20"/>
              </w:rPr>
              <w:t xml:space="preserve"> III.</w:t>
            </w:r>
          </w:p>
        </w:tc>
        <w:tc>
          <w:tcPr>
            <w:tcW w:w="989" w:type="dxa"/>
            <w:tcBorders>
              <w:top w:val="single" w:sz="4" w:space="0" w:color="auto"/>
              <w:left w:val="single" w:sz="4" w:space="0" w:color="auto"/>
              <w:bottom w:val="single" w:sz="4" w:space="0" w:color="auto"/>
              <w:right w:val="single" w:sz="4" w:space="0" w:color="auto"/>
            </w:tcBorders>
          </w:tcPr>
          <w:p w:rsidR="00406DFF" w:rsidRPr="00D50E91" w:rsidRDefault="00406DFF" w:rsidP="00C65880">
            <w:pPr>
              <w:autoSpaceDE w:val="0"/>
              <w:autoSpaceDN w:val="0"/>
              <w:adjustRightInd w:val="0"/>
              <w:ind w:left="56" w:right="56"/>
              <w:jc w:val="center"/>
              <w:rPr>
                <w:sz w:val="20"/>
                <w:szCs w:val="20"/>
              </w:rPr>
            </w:pPr>
            <w:r w:rsidRPr="00D50E91">
              <w:rPr>
                <w:sz w:val="20"/>
                <w:szCs w:val="20"/>
              </w:rPr>
              <w:t xml:space="preserve"> I.</w:t>
            </w:r>
          </w:p>
        </w:tc>
        <w:tc>
          <w:tcPr>
            <w:tcW w:w="992" w:type="dxa"/>
            <w:tcBorders>
              <w:top w:val="single" w:sz="4" w:space="0" w:color="auto"/>
              <w:left w:val="single" w:sz="4" w:space="0" w:color="auto"/>
              <w:bottom w:val="single" w:sz="4" w:space="0" w:color="auto"/>
              <w:right w:val="single" w:sz="4" w:space="0" w:color="auto"/>
            </w:tcBorders>
          </w:tcPr>
          <w:p w:rsidR="00406DFF" w:rsidRPr="00D50E91" w:rsidRDefault="00406DFF" w:rsidP="00C65880">
            <w:pPr>
              <w:autoSpaceDE w:val="0"/>
              <w:autoSpaceDN w:val="0"/>
              <w:adjustRightInd w:val="0"/>
              <w:ind w:left="56" w:right="56"/>
              <w:jc w:val="center"/>
              <w:rPr>
                <w:sz w:val="20"/>
                <w:szCs w:val="20"/>
              </w:rPr>
            </w:pPr>
            <w:r w:rsidRPr="00D50E91">
              <w:rPr>
                <w:sz w:val="20"/>
                <w:szCs w:val="20"/>
              </w:rPr>
              <w:t xml:space="preserve"> II.</w:t>
            </w:r>
          </w:p>
        </w:tc>
        <w:tc>
          <w:tcPr>
            <w:tcW w:w="992" w:type="dxa"/>
            <w:tcBorders>
              <w:top w:val="single" w:sz="4" w:space="0" w:color="auto"/>
              <w:left w:val="single" w:sz="4" w:space="0" w:color="auto"/>
              <w:bottom w:val="single" w:sz="4" w:space="0" w:color="auto"/>
              <w:right w:val="single" w:sz="4" w:space="0" w:color="auto"/>
            </w:tcBorders>
          </w:tcPr>
          <w:p w:rsidR="00406DFF" w:rsidRPr="00D50E91" w:rsidRDefault="00406DFF" w:rsidP="00C65880">
            <w:pPr>
              <w:autoSpaceDE w:val="0"/>
              <w:autoSpaceDN w:val="0"/>
              <w:adjustRightInd w:val="0"/>
              <w:ind w:left="56" w:right="56"/>
              <w:jc w:val="center"/>
              <w:rPr>
                <w:sz w:val="20"/>
                <w:szCs w:val="20"/>
              </w:rPr>
            </w:pPr>
            <w:r w:rsidRPr="00D50E91">
              <w:rPr>
                <w:sz w:val="20"/>
                <w:szCs w:val="20"/>
              </w:rPr>
              <w:t xml:space="preserve"> III.</w:t>
            </w:r>
          </w:p>
        </w:tc>
      </w:tr>
      <w:tr w:rsidR="00406DFF" w:rsidRPr="00D50E91" w:rsidTr="00406DFF">
        <w:tc>
          <w:tcPr>
            <w:tcW w:w="557" w:type="dxa"/>
            <w:tcBorders>
              <w:top w:val="nil"/>
              <w:left w:val="single" w:sz="4" w:space="0" w:color="auto"/>
              <w:bottom w:val="single" w:sz="4" w:space="0" w:color="auto"/>
              <w:right w:val="single" w:sz="4" w:space="0" w:color="auto"/>
            </w:tcBorders>
          </w:tcPr>
          <w:p w:rsidR="00406DFF" w:rsidRPr="00D50E91" w:rsidRDefault="00406DFF" w:rsidP="00406DFF">
            <w:pPr>
              <w:autoSpaceDE w:val="0"/>
              <w:autoSpaceDN w:val="0"/>
              <w:adjustRightInd w:val="0"/>
              <w:jc w:val="center"/>
              <w:rPr>
                <w:sz w:val="20"/>
                <w:szCs w:val="20"/>
              </w:rPr>
            </w:pPr>
            <w:r w:rsidRPr="00D50E91">
              <w:rPr>
                <w:sz w:val="20"/>
                <w:szCs w:val="20"/>
              </w:rPr>
              <w:t xml:space="preserve"> 4</w:t>
            </w:r>
          </w:p>
        </w:tc>
        <w:tc>
          <w:tcPr>
            <w:tcW w:w="3676" w:type="dxa"/>
            <w:tcBorders>
              <w:top w:val="nil"/>
              <w:left w:val="single" w:sz="4" w:space="0" w:color="auto"/>
              <w:bottom w:val="single" w:sz="4" w:space="0" w:color="auto"/>
              <w:right w:val="single" w:sz="4" w:space="0" w:color="auto"/>
            </w:tcBorders>
          </w:tcPr>
          <w:p w:rsidR="00406DFF" w:rsidRPr="00D50E91" w:rsidRDefault="00406DFF" w:rsidP="00C65880">
            <w:pPr>
              <w:autoSpaceDE w:val="0"/>
              <w:autoSpaceDN w:val="0"/>
              <w:adjustRightInd w:val="0"/>
              <w:rPr>
                <w:sz w:val="20"/>
                <w:szCs w:val="20"/>
              </w:rPr>
            </w:pPr>
            <w:r w:rsidRPr="00D50E91">
              <w:rPr>
                <w:sz w:val="20"/>
                <w:szCs w:val="20"/>
              </w:rPr>
              <w:t xml:space="preserve"> </w:t>
            </w:r>
          </w:p>
        </w:tc>
        <w:tc>
          <w:tcPr>
            <w:tcW w:w="8930" w:type="dxa"/>
            <w:gridSpan w:val="9"/>
            <w:tcBorders>
              <w:top w:val="single" w:sz="4" w:space="0" w:color="auto"/>
              <w:left w:val="single" w:sz="4" w:space="0" w:color="auto"/>
              <w:bottom w:val="single" w:sz="4" w:space="0" w:color="auto"/>
              <w:right w:val="single" w:sz="4" w:space="0" w:color="auto"/>
            </w:tcBorders>
          </w:tcPr>
          <w:p w:rsidR="00406DFF" w:rsidRPr="00D50E91" w:rsidRDefault="00406DFF" w:rsidP="00C65880">
            <w:pPr>
              <w:autoSpaceDE w:val="0"/>
              <w:autoSpaceDN w:val="0"/>
              <w:adjustRightInd w:val="0"/>
              <w:ind w:left="56" w:right="56"/>
              <w:jc w:val="center"/>
              <w:rPr>
                <w:sz w:val="20"/>
                <w:szCs w:val="20"/>
              </w:rPr>
            </w:pPr>
            <w:r w:rsidRPr="00D50E91">
              <w:rPr>
                <w:sz w:val="20"/>
                <w:szCs w:val="20"/>
              </w:rPr>
              <w:t xml:space="preserve"> tűzveszélyességi fokozatú folyadék esetén</w:t>
            </w:r>
            <w:r w:rsidRPr="00D50E91">
              <w:rPr>
                <w:sz w:val="20"/>
                <w:szCs w:val="20"/>
                <w:vertAlign w:val="superscript"/>
              </w:rPr>
              <w:t>1)</w:t>
            </w:r>
          </w:p>
        </w:tc>
      </w:tr>
      <w:tr w:rsidR="00406DFF" w:rsidRPr="00D50E91" w:rsidTr="00406DFF">
        <w:tc>
          <w:tcPr>
            <w:tcW w:w="557" w:type="dxa"/>
            <w:tcBorders>
              <w:top w:val="single" w:sz="4" w:space="0" w:color="auto"/>
              <w:left w:val="single" w:sz="4" w:space="0" w:color="auto"/>
              <w:bottom w:val="single" w:sz="4" w:space="0" w:color="auto"/>
              <w:right w:val="single" w:sz="4" w:space="0" w:color="auto"/>
            </w:tcBorders>
          </w:tcPr>
          <w:p w:rsidR="00406DFF" w:rsidRPr="00D50E91" w:rsidRDefault="00406DFF" w:rsidP="00406DFF">
            <w:pPr>
              <w:autoSpaceDE w:val="0"/>
              <w:autoSpaceDN w:val="0"/>
              <w:adjustRightInd w:val="0"/>
              <w:ind w:left="56" w:right="56"/>
              <w:jc w:val="center"/>
              <w:rPr>
                <w:sz w:val="20"/>
                <w:szCs w:val="20"/>
              </w:rPr>
            </w:pPr>
            <w:r w:rsidRPr="00D50E91">
              <w:rPr>
                <w:sz w:val="20"/>
                <w:szCs w:val="20"/>
              </w:rPr>
              <w:t xml:space="preserve"> 5</w:t>
            </w:r>
          </w:p>
        </w:tc>
        <w:tc>
          <w:tcPr>
            <w:tcW w:w="3676" w:type="dxa"/>
            <w:tcBorders>
              <w:top w:val="single" w:sz="4" w:space="0" w:color="auto"/>
              <w:left w:val="single" w:sz="4" w:space="0" w:color="auto"/>
              <w:bottom w:val="single" w:sz="4" w:space="0" w:color="auto"/>
              <w:right w:val="single" w:sz="4" w:space="0" w:color="auto"/>
            </w:tcBorders>
          </w:tcPr>
          <w:p w:rsidR="00406DFF" w:rsidRPr="00D50E91" w:rsidRDefault="00406DFF" w:rsidP="00C65880">
            <w:pPr>
              <w:autoSpaceDE w:val="0"/>
              <w:autoSpaceDN w:val="0"/>
              <w:adjustRightInd w:val="0"/>
              <w:ind w:left="56" w:right="56"/>
              <w:rPr>
                <w:sz w:val="20"/>
                <w:szCs w:val="20"/>
              </w:rPr>
            </w:pPr>
            <w:r w:rsidRPr="00D50E91">
              <w:rPr>
                <w:sz w:val="20"/>
                <w:szCs w:val="20"/>
              </w:rPr>
              <w:t xml:space="preserve"> Lakó</w:t>
            </w:r>
            <w:r w:rsidR="003528A8">
              <w:rPr>
                <w:sz w:val="20"/>
                <w:szCs w:val="20"/>
              </w:rPr>
              <w:t>-</w:t>
            </w:r>
            <w:r w:rsidRPr="00D50E91">
              <w:rPr>
                <w:sz w:val="20"/>
                <w:szCs w:val="20"/>
              </w:rPr>
              <w:t>, üdülő</w:t>
            </w:r>
            <w:r w:rsidR="003528A8">
              <w:rPr>
                <w:sz w:val="20"/>
                <w:szCs w:val="20"/>
              </w:rPr>
              <w:t>-</w:t>
            </w:r>
            <w:r w:rsidRPr="00D50E91">
              <w:rPr>
                <w:sz w:val="20"/>
                <w:szCs w:val="20"/>
              </w:rPr>
              <w:t xml:space="preserve"> és intézményterület</w:t>
            </w:r>
          </w:p>
        </w:tc>
        <w:tc>
          <w:tcPr>
            <w:tcW w:w="992" w:type="dxa"/>
            <w:tcBorders>
              <w:top w:val="single" w:sz="4" w:space="0" w:color="auto"/>
              <w:left w:val="single" w:sz="4" w:space="0" w:color="auto"/>
              <w:bottom w:val="single" w:sz="4" w:space="0" w:color="auto"/>
              <w:right w:val="single" w:sz="4" w:space="0" w:color="auto"/>
            </w:tcBorders>
          </w:tcPr>
          <w:p w:rsidR="00406DFF" w:rsidRPr="00D50E91" w:rsidRDefault="00406DFF" w:rsidP="00C65880">
            <w:pPr>
              <w:autoSpaceDE w:val="0"/>
              <w:autoSpaceDN w:val="0"/>
              <w:adjustRightInd w:val="0"/>
              <w:ind w:left="56" w:right="56"/>
              <w:jc w:val="center"/>
              <w:rPr>
                <w:sz w:val="20"/>
                <w:szCs w:val="20"/>
              </w:rPr>
            </w:pPr>
            <w:r w:rsidRPr="00D50E91">
              <w:rPr>
                <w:sz w:val="20"/>
                <w:szCs w:val="20"/>
              </w:rPr>
              <w:t xml:space="preserve"> 100</w:t>
            </w:r>
          </w:p>
        </w:tc>
        <w:tc>
          <w:tcPr>
            <w:tcW w:w="992" w:type="dxa"/>
            <w:tcBorders>
              <w:top w:val="single" w:sz="4" w:space="0" w:color="auto"/>
              <w:left w:val="single" w:sz="4" w:space="0" w:color="auto"/>
              <w:bottom w:val="single" w:sz="4" w:space="0" w:color="auto"/>
              <w:right w:val="single" w:sz="4" w:space="0" w:color="auto"/>
            </w:tcBorders>
          </w:tcPr>
          <w:p w:rsidR="00406DFF" w:rsidRPr="00D50E91" w:rsidRDefault="00406DFF" w:rsidP="00C65880">
            <w:pPr>
              <w:autoSpaceDE w:val="0"/>
              <w:autoSpaceDN w:val="0"/>
              <w:adjustRightInd w:val="0"/>
              <w:ind w:left="56" w:right="56"/>
              <w:jc w:val="center"/>
              <w:rPr>
                <w:sz w:val="20"/>
                <w:szCs w:val="20"/>
              </w:rPr>
            </w:pPr>
            <w:r w:rsidRPr="00D50E91">
              <w:rPr>
                <w:sz w:val="20"/>
                <w:szCs w:val="20"/>
              </w:rPr>
              <w:t xml:space="preserve"> 75</w:t>
            </w:r>
          </w:p>
        </w:tc>
        <w:tc>
          <w:tcPr>
            <w:tcW w:w="1056" w:type="dxa"/>
            <w:tcBorders>
              <w:top w:val="single" w:sz="4" w:space="0" w:color="auto"/>
              <w:left w:val="single" w:sz="4" w:space="0" w:color="auto"/>
              <w:bottom w:val="single" w:sz="4" w:space="0" w:color="auto"/>
              <w:right w:val="single" w:sz="4" w:space="0" w:color="auto"/>
            </w:tcBorders>
          </w:tcPr>
          <w:p w:rsidR="00406DFF" w:rsidRPr="00D50E91" w:rsidRDefault="00406DFF" w:rsidP="00C65880">
            <w:pPr>
              <w:autoSpaceDE w:val="0"/>
              <w:autoSpaceDN w:val="0"/>
              <w:adjustRightInd w:val="0"/>
              <w:ind w:left="56" w:right="56"/>
              <w:jc w:val="center"/>
              <w:rPr>
                <w:sz w:val="20"/>
                <w:szCs w:val="20"/>
              </w:rPr>
            </w:pPr>
            <w:r w:rsidRPr="00D50E91">
              <w:rPr>
                <w:sz w:val="20"/>
                <w:szCs w:val="20"/>
              </w:rPr>
              <w:t xml:space="preserve"> 40</w:t>
            </w:r>
          </w:p>
        </w:tc>
        <w:tc>
          <w:tcPr>
            <w:tcW w:w="929" w:type="dxa"/>
            <w:tcBorders>
              <w:top w:val="single" w:sz="4" w:space="0" w:color="auto"/>
              <w:left w:val="single" w:sz="4" w:space="0" w:color="auto"/>
              <w:bottom w:val="single" w:sz="4" w:space="0" w:color="auto"/>
              <w:right w:val="single" w:sz="4" w:space="0" w:color="auto"/>
            </w:tcBorders>
          </w:tcPr>
          <w:p w:rsidR="00406DFF" w:rsidRPr="00D50E91" w:rsidRDefault="00406DFF" w:rsidP="00C65880">
            <w:pPr>
              <w:autoSpaceDE w:val="0"/>
              <w:autoSpaceDN w:val="0"/>
              <w:adjustRightInd w:val="0"/>
              <w:ind w:left="56" w:right="56"/>
              <w:jc w:val="center"/>
              <w:rPr>
                <w:sz w:val="20"/>
                <w:szCs w:val="20"/>
              </w:rPr>
            </w:pPr>
            <w:r w:rsidRPr="00D50E91">
              <w:rPr>
                <w:sz w:val="20"/>
                <w:szCs w:val="20"/>
              </w:rPr>
              <w:t xml:space="preserve"> 150</w:t>
            </w:r>
          </w:p>
        </w:tc>
        <w:tc>
          <w:tcPr>
            <w:tcW w:w="992" w:type="dxa"/>
            <w:tcBorders>
              <w:top w:val="single" w:sz="4" w:space="0" w:color="auto"/>
              <w:left w:val="single" w:sz="4" w:space="0" w:color="auto"/>
              <w:bottom w:val="single" w:sz="4" w:space="0" w:color="auto"/>
              <w:right w:val="single" w:sz="4" w:space="0" w:color="auto"/>
            </w:tcBorders>
          </w:tcPr>
          <w:p w:rsidR="00406DFF" w:rsidRPr="00D50E91" w:rsidRDefault="00406DFF" w:rsidP="00C65880">
            <w:pPr>
              <w:autoSpaceDE w:val="0"/>
              <w:autoSpaceDN w:val="0"/>
              <w:adjustRightInd w:val="0"/>
              <w:ind w:left="56" w:right="56"/>
              <w:jc w:val="center"/>
              <w:rPr>
                <w:sz w:val="20"/>
                <w:szCs w:val="20"/>
              </w:rPr>
            </w:pPr>
            <w:r w:rsidRPr="00D50E91">
              <w:rPr>
                <w:sz w:val="20"/>
                <w:szCs w:val="20"/>
              </w:rPr>
              <w:t xml:space="preserve"> 100</w:t>
            </w:r>
          </w:p>
        </w:tc>
        <w:tc>
          <w:tcPr>
            <w:tcW w:w="996" w:type="dxa"/>
            <w:tcBorders>
              <w:top w:val="single" w:sz="4" w:space="0" w:color="auto"/>
              <w:left w:val="single" w:sz="4" w:space="0" w:color="auto"/>
              <w:bottom w:val="single" w:sz="4" w:space="0" w:color="auto"/>
              <w:right w:val="single" w:sz="4" w:space="0" w:color="auto"/>
            </w:tcBorders>
          </w:tcPr>
          <w:p w:rsidR="00406DFF" w:rsidRPr="00D50E91" w:rsidRDefault="00406DFF" w:rsidP="00C65880">
            <w:pPr>
              <w:autoSpaceDE w:val="0"/>
              <w:autoSpaceDN w:val="0"/>
              <w:adjustRightInd w:val="0"/>
              <w:ind w:left="56" w:right="56"/>
              <w:jc w:val="center"/>
              <w:rPr>
                <w:sz w:val="20"/>
                <w:szCs w:val="20"/>
              </w:rPr>
            </w:pPr>
            <w:r w:rsidRPr="00D50E91">
              <w:rPr>
                <w:sz w:val="20"/>
                <w:szCs w:val="20"/>
              </w:rPr>
              <w:t xml:space="preserve"> 60</w:t>
            </w:r>
          </w:p>
        </w:tc>
        <w:tc>
          <w:tcPr>
            <w:tcW w:w="989" w:type="dxa"/>
            <w:tcBorders>
              <w:top w:val="single" w:sz="4" w:space="0" w:color="auto"/>
              <w:left w:val="single" w:sz="4" w:space="0" w:color="auto"/>
              <w:bottom w:val="single" w:sz="4" w:space="0" w:color="auto"/>
              <w:right w:val="single" w:sz="4" w:space="0" w:color="auto"/>
            </w:tcBorders>
          </w:tcPr>
          <w:p w:rsidR="00406DFF" w:rsidRPr="00D50E91" w:rsidRDefault="00406DFF" w:rsidP="00C65880">
            <w:pPr>
              <w:autoSpaceDE w:val="0"/>
              <w:autoSpaceDN w:val="0"/>
              <w:adjustRightInd w:val="0"/>
              <w:ind w:left="56" w:right="56"/>
              <w:jc w:val="center"/>
              <w:rPr>
                <w:sz w:val="20"/>
                <w:szCs w:val="20"/>
              </w:rPr>
            </w:pPr>
            <w:r w:rsidRPr="00D50E91">
              <w:rPr>
                <w:sz w:val="20"/>
                <w:szCs w:val="20"/>
              </w:rPr>
              <w:t xml:space="preserve"> 300</w:t>
            </w:r>
          </w:p>
        </w:tc>
        <w:tc>
          <w:tcPr>
            <w:tcW w:w="992" w:type="dxa"/>
            <w:tcBorders>
              <w:top w:val="single" w:sz="4" w:space="0" w:color="auto"/>
              <w:left w:val="single" w:sz="4" w:space="0" w:color="auto"/>
              <w:bottom w:val="single" w:sz="4" w:space="0" w:color="auto"/>
              <w:right w:val="single" w:sz="4" w:space="0" w:color="auto"/>
            </w:tcBorders>
          </w:tcPr>
          <w:p w:rsidR="00406DFF" w:rsidRPr="00D50E91" w:rsidRDefault="00406DFF" w:rsidP="00C65880">
            <w:pPr>
              <w:autoSpaceDE w:val="0"/>
              <w:autoSpaceDN w:val="0"/>
              <w:adjustRightInd w:val="0"/>
              <w:ind w:left="56" w:right="56"/>
              <w:jc w:val="center"/>
              <w:rPr>
                <w:sz w:val="20"/>
                <w:szCs w:val="20"/>
              </w:rPr>
            </w:pPr>
            <w:r w:rsidRPr="00D50E91">
              <w:rPr>
                <w:sz w:val="20"/>
                <w:szCs w:val="20"/>
              </w:rPr>
              <w:t xml:space="preserve"> 150</w:t>
            </w:r>
          </w:p>
        </w:tc>
        <w:tc>
          <w:tcPr>
            <w:tcW w:w="992" w:type="dxa"/>
            <w:tcBorders>
              <w:top w:val="single" w:sz="4" w:space="0" w:color="auto"/>
              <w:left w:val="single" w:sz="4" w:space="0" w:color="auto"/>
              <w:bottom w:val="single" w:sz="4" w:space="0" w:color="auto"/>
              <w:right w:val="single" w:sz="4" w:space="0" w:color="auto"/>
            </w:tcBorders>
          </w:tcPr>
          <w:p w:rsidR="00406DFF" w:rsidRPr="00D50E91" w:rsidRDefault="00406DFF" w:rsidP="00C65880">
            <w:pPr>
              <w:autoSpaceDE w:val="0"/>
              <w:autoSpaceDN w:val="0"/>
              <w:adjustRightInd w:val="0"/>
              <w:ind w:left="56" w:right="56"/>
              <w:jc w:val="center"/>
              <w:rPr>
                <w:sz w:val="20"/>
                <w:szCs w:val="20"/>
              </w:rPr>
            </w:pPr>
            <w:r w:rsidRPr="00D50E91">
              <w:rPr>
                <w:sz w:val="20"/>
                <w:szCs w:val="20"/>
              </w:rPr>
              <w:t xml:space="preserve"> 75</w:t>
            </w:r>
          </w:p>
        </w:tc>
      </w:tr>
      <w:tr w:rsidR="00406DFF" w:rsidRPr="00D50E91" w:rsidTr="00406DFF">
        <w:tc>
          <w:tcPr>
            <w:tcW w:w="557" w:type="dxa"/>
            <w:tcBorders>
              <w:top w:val="single" w:sz="4" w:space="0" w:color="auto"/>
              <w:left w:val="single" w:sz="4" w:space="0" w:color="auto"/>
              <w:bottom w:val="single" w:sz="4" w:space="0" w:color="auto"/>
              <w:right w:val="single" w:sz="4" w:space="0" w:color="auto"/>
            </w:tcBorders>
          </w:tcPr>
          <w:p w:rsidR="00406DFF" w:rsidRPr="00D50E91" w:rsidRDefault="00406DFF" w:rsidP="00406DFF">
            <w:pPr>
              <w:autoSpaceDE w:val="0"/>
              <w:autoSpaceDN w:val="0"/>
              <w:adjustRightInd w:val="0"/>
              <w:ind w:left="56" w:right="56"/>
              <w:jc w:val="center"/>
              <w:rPr>
                <w:sz w:val="20"/>
                <w:szCs w:val="20"/>
              </w:rPr>
            </w:pPr>
            <w:r w:rsidRPr="00D50E91">
              <w:rPr>
                <w:sz w:val="20"/>
                <w:szCs w:val="20"/>
              </w:rPr>
              <w:t xml:space="preserve"> 6</w:t>
            </w:r>
          </w:p>
        </w:tc>
        <w:tc>
          <w:tcPr>
            <w:tcW w:w="3676" w:type="dxa"/>
            <w:tcBorders>
              <w:top w:val="single" w:sz="4" w:space="0" w:color="auto"/>
              <w:left w:val="single" w:sz="4" w:space="0" w:color="auto"/>
              <w:bottom w:val="single" w:sz="4" w:space="0" w:color="auto"/>
              <w:right w:val="single" w:sz="4" w:space="0" w:color="auto"/>
            </w:tcBorders>
          </w:tcPr>
          <w:p w:rsidR="00406DFF" w:rsidRPr="00D50E91" w:rsidRDefault="00406DFF" w:rsidP="00C65880">
            <w:pPr>
              <w:autoSpaceDE w:val="0"/>
              <w:autoSpaceDN w:val="0"/>
              <w:adjustRightInd w:val="0"/>
              <w:ind w:left="56" w:right="56"/>
              <w:rPr>
                <w:sz w:val="20"/>
                <w:szCs w:val="20"/>
              </w:rPr>
            </w:pPr>
            <w:r w:rsidRPr="00D50E91">
              <w:rPr>
                <w:sz w:val="20"/>
                <w:szCs w:val="20"/>
              </w:rPr>
              <w:t xml:space="preserve"> KK és MK osztályú épületek</w:t>
            </w:r>
          </w:p>
        </w:tc>
        <w:tc>
          <w:tcPr>
            <w:tcW w:w="992" w:type="dxa"/>
            <w:tcBorders>
              <w:top w:val="single" w:sz="4" w:space="0" w:color="auto"/>
              <w:left w:val="single" w:sz="4" w:space="0" w:color="auto"/>
              <w:bottom w:val="single" w:sz="4" w:space="0" w:color="auto"/>
              <w:right w:val="single" w:sz="4" w:space="0" w:color="auto"/>
            </w:tcBorders>
          </w:tcPr>
          <w:p w:rsidR="00406DFF" w:rsidRPr="00D50E91" w:rsidRDefault="00406DFF" w:rsidP="00C65880">
            <w:pPr>
              <w:autoSpaceDE w:val="0"/>
              <w:autoSpaceDN w:val="0"/>
              <w:adjustRightInd w:val="0"/>
              <w:ind w:left="56" w:right="56"/>
              <w:jc w:val="center"/>
              <w:rPr>
                <w:sz w:val="20"/>
                <w:szCs w:val="20"/>
              </w:rPr>
            </w:pPr>
            <w:r w:rsidRPr="00D50E91">
              <w:rPr>
                <w:sz w:val="20"/>
                <w:szCs w:val="20"/>
              </w:rPr>
              <w:t xml:space="preserve"> 50</w:t>
            </w:r>
          </w:p>
        </w:tc>
        <w:tc>
          <w:tcPr>
            <w:tcW w:w="992" w:type="dxa"/>
            <w:tcBorders>
              <w:top w:val="single" w:sz="4" w:space="0" w:color="auto"/>
              <w:left w:val="single" w:sz="4" w:space="0" w:color="auto"/>
              <w:bottom w:val="single" w:sz="4" w:space="0" w:color="auto"/>
              <w:right w:val="single" w:sz="4" w:space="0" w:color="auto"/>
            </w:tcBorders>
          </w:tcPr>
          <w:p w:rsidR="00406DFF" w:rsidRPr="00D50E91" w:rsidRDefault="00406DFF" w:rsidP="00C65880">
            <w:pPr>
              <w:autoSpaceDE w:val="0"/>
              <w:autoSpaceDN w:val="0"/>
              <w:adjustRightInd w:val="0"/>
              <w:ind w:left="56" w:right="56"/>
              <w:jc w:val="center"/>
              <w:rPr>
                <w:sz w:val="20"/>
                <w:szCs w:val="20"/>
              </w:rPr>
            </w:pPr>
            <w:r w:rsidRPr="00D50E91">
              <w:rPr>
                <w:sz w:val="20"/>
                <w:szCs w:val="20"/>
              </w:rPr>
              <w:t xml:space="preserve"> 50</w:t>
            </w:r>
          </w:p>
        </w:tc>
        <w:tc>
          <w:tcPr>
            <w:tcW w:w="1056" w:type="dxa"/>
            <w:tcBorders>
              <w:top w:val="single" w:sz="4" w:space="0" w:color="auto"/>
              <w:left w:val="single" w:sz="4" w:space="0" w:color="auto"/>
              <w:bottom w:val="single" w:sz="4" w:space="0" w:color="auto"/>
              <w:right w:val="single" w:sz="4" w:space="0" w:color="auto"/>
            </w:tcBorders>
          </w:tcPr>
          <w:p w:rsidR="00406DFF" w:rsidRPr="00D50E91" w:rsidRDefault="00406DFF" w:rsidP="00C65880">
            <w:pPr>
              <w:autoSpaceDE w:val="0"/>
              <w:autoSpaceDN w:val="0"/>
              <w:adjustRightInd w:val="0"/>
              <w:ind w:left="56" w:right="56"/>
              <w:jc w:val="center"/>
              <w:rPr>
                <w:sz w:val="20"/>
                <w:szCs w:val="20"/>
              </w:rPr>
            </w:pPr>
            <w:r w:rsidRPr="00D50E91">
              <w:rPr>
                <w:sz w:val="20"/>
                <w:szCs w:val="20"/>
              </w:rPr>
              <w:t xml:space="preserve"> 50</w:t>
            </w:r>
          </w:p>
        </w:tc>
        <w:tc>
          <w:tcPr>
            <w:tcW w:w="929" w:type="dxa"/>
            <w:tcBorders>
              <w:top w:val="single" w:sz="4" w:space="0" w:color="auto"/>
              <w:left w:val="single" w:sz="4" w:space="0" w:color="auto"/>
              <w:bottom w:val="single" w:sz="4" w:space="0" w:color="auto"/>
              <w:right w:val="single" w:sz="4" w:space="0" w:color="auto"/>
            </w:tcBorders>
          </w:tcPr>
          <w:p w:rsidR="00406DFF" w:rsidRPr="00D50E91" w:rsidRDefault="00406DFF" w:rsidP="00C65880">
            <w:pPr>
              <w:autoSpaceDE w:val="0"/>
              <w:autoSpaceDN w:val="0"/>
              <w:adjustRightInd w:val="0"/>
              <w:ind w:left="56" w:right="56"/>
              <w:jc w:val="center"/>
              <w:rPr>
                <w:sz w:val="20"/>
                <w:szCs w:val="20"/>
              </w:rPr>
            </w:pPr>
            <w:r w:rsidRPr="00D50E91">
              <w:rPr>
                <w:sz w:val="20"/>
                <w:szCs w:val="20"/>
              </w:rPr>
              <w:t xml:space="preserve"> 80</w:t>
            </w:r>
          </w:p>
        </w:tc>
        <w:tc>
          <w:tcPr>
            <w:tcW w:w="992" w:type="dxa"/>
            <w:tcBorders>
              <w:top w:val="single" w:sz="4" w:space="0" w:color="auto"/>
              <w:left w:val="single" w:sz="4" w:space="0" w:color="auto"/>
              <w:bottom w:val="single" w:sz="4" w:space="0" w:color="auto"/>
              <w:right w:val="single" w:sz="4" w:space="0" w:color="auto"/>
            </w:tcBorders>
          </w:tcPr>
          <w:p w:rsidR="00406DFF" w:rsidRPr="00D50E91" w:rsidRDefault="00406DFF" w:rsidP="00C65880">
            <w:pPr>
              <w:autoSpaceDE w:val="0"/>
              <w:autoSpaceDN w:val="0"/>
              <w:adjustRightInd w:val="0"/>
              <w:ind w:left="56" w:right="56"/>
              <w:jc w:val="center"/>
              <w:rPr>
                <w:sz w:val="20"/>
                <w:szCs w:val="20"/>
              </w:rPr>
            </w:pPr>
            <w:r w:rsidRPr="00D50E91">
              <w:rPr>
                <w:sz w:val="20"/>
                <w:szCs w:val="20"/>
              </w:rPr>
              <w:t xml:space="preserve"> 80</w:t>
            </w:r>
          </w:p>
        </w:tc>
        <w:tc>
          <w:tcPr>
            <w:tcW w:w="996" w:type="dxa"/>
            <w:tcBorders>
              <w:top w:val="single" w:sz="4" w:space="0" w:color="auto"/>
              <w:left w:val="single" w:sz="4" w:space="0" w:color="auto"/>
              <w:bottom w:val="single" w:sz="4" w:space="0" w:color="auto"/>
              <w:right w:val="single" w:sz="4" w:space="0" w:color="auto"/>
            </w:tcBorders>
          </w:tcPr>
          <w:p w:rsidR="00406DFF" w:rsidRPr="00D50E91" w:rsidRDefault="00406DFF" w:rsidP="00C65880">
            <w:pPr>
              <w:autoSpaceDE w:val="0"/>
              <w:autoSpaceDN w:val="0"/>
              <w:adjustRightInd w:val="0"/>
              <w:ind w:left="56" w:right="56"/>
              <w:jc w:val="center"/>
              <w:rPr>
                <w:sz w:val="20"/>
                <w:szCs w:val="20"/>
              </w:rPr>
            </w:pPr>
            <w:r w:rsidRPr="00D50E91">
              <w:rPr>
                <w:sz w:val="20"/>
                <w:szCs w:val="20"/>
              </w:rPr>
              <w:t xml:space="preserve"> 60</w:t>
            </w:r>
          </w:p>
        </w:tc>
        <w:tc>
          <w:tcPr>
            <w:tcW w:w="989" w:type="dxa"/>
            <w:tcBorders>
              <w:top w:val="single" w:sz="4" w:space="0" w:color="auto"/>
              <w:left w:val="single" w:sz="4" w:space="0" w:color="auto"/>
              <w:bottom w:val="single" w:sz="4" w:space="0" w:color="auto"/>
              <w:right w:val="single" w:sz="4" w:space="0" w:color="auto"/>
            </w:tcBorders>
          </w:tcPr>
          <w:p w:rsidR="00406DFF" w:rsidRPr="00D50E91" w:rsidRDefault="00406DFF" w:rsidP="00C65880">
            <w:pPr>
              <w:autoSpaceDE w:val="0"/>
              <w:autoSpaceDN w:val="0"/>
              <w:adjustRightInd w:val="0"/>
              <w:ind w:left="56" w:right="56"/>
              <w:jc w:val="center"/>
              <w:rPr>
                <w:sz w:val="20"/>
                <w:szCs w:val="20"/>
              </w:rPr>
            </w:pPr>
            <w:r w:rsidRPr="00D50E91">
              <w:rPr>
                <w:sz w:val="20"/>
                <w:szCs w:val="20"/>
              </w:rPr>
              <w:t xml:space="preserve"> 150</w:t>
            </w:r>
          </w:p>
        </w:tc>
        <w:tc>
          <w:tcPr>
            <w:tcW w:w="992" w:type="dxa"/>
            <w:tcBorders>
              <w:top w:val="single" w:sz="4" w:space="0" w:color="auto"/>
              <w:left w:val="single" w:sz="4" w:space="0" w:color="auto"/>
              <w:bottom w:val="single" w:sz="4" w:space="0" w:color="auto"/>
              <w:right w:val="single" w:sz="4" w:space="0" w:color="auto"/>
            </w:tcBorders>
          </w:tcPr>
          <w:p w:rsidR="00406DFF" w:rsidRPr="00D50E91" w:rsidRDefault="00406DFF" w:rsidP="00C65880">
            <w:pPr>
              <w:autoSpaceDE w:val="0"/>
              <w:autoSpaceDN w:val="0"/>
              <w:adjustRightInd w:val="0"/>
              <w:ind w:left="56" w:right="56"/>
              <w:jc w:val="center"/>
              <w:rPr>
                <w:sz w:val="20"/>
                <w:szCs w:val="20"/>
              </w:rPr>
            </w:pPr>
            <w:r w:rsidRPr="00D50E91">
              <w:rPr>
                <w:sz w:val="20"/>
                <w:szCs w:val="20"/>
              </w:rPr>
              <w:t xml:space="preserve"> 150</w:t>
            </w:r>
          </w:p>
        </w:tc>
        <w:tc>
          <w:tcPr>
            <w:tcW w:w="992" w:type="dxa"/>
            <w:tcBorders>
              <w:top w:val="single" w:sz="4" w:space="0" w:color="auto"/>
              <w:left w:val="single" w:sz="4" w:space="0" w:color="auto"/>
              <w:bottom w:val="single" w:sz="4" w:space="0" w:color="auto"/>
              <w:right w:val="single" w:sz="4" w:space="0" w:color="auto"/>
            </w:tcBorders>
          </w:tcPr>
          <w:p w:rsidR="00406DFF" w:rsidRPr="00D50E91" w:rsidRDefault="00406DFF" w:rsidP="00C65880">
            <w:pPr>
              <w:autoSpaceDE w:val="0"/>
              <w:autoSpaceDN w:val="0"/>
              <w:adjustRightInd w:val="0"/>
              <w:ind w:left="56" w:right="56"/>
              <w:jc w:val="center"/>
              <w:rPr>
                <w:sz w:val="20"/>
                <w:szCs w:val="20"/>
              </w:rPr>
            </w:pPr>
            <w:r w:rsidRPr="00D50E91">
              <w:rPr>
                <w:sz w:val="20"/>
                <w:szCs w:val="20"/>
              </w:rPr>
              <w:t xml:space="preserve"> 150</w:t>
            </w:r>
          </w:p>
        </w:tc>
      </w:tr>
      <w:tr w:rsidR="00406DFF" w:rsidRPr="00D50E91" w:rsidTr="00406DFF">
        <w:tc>
          <w:tcPr>
            <w:tcW w:w="557" w:type="dxa"/>
            <w:tcBorders>
              <w:top w:val="single" w:sz="4" w:space="0" w:color="auto"/>
              <w:left w:val="single" w:sz="4" w:space="0" w:color="auto"/>
              <w:bottom w:val="single" w:sz="4" w:space="0" w:color="auto"/>
              <w:right w:val="single" w:sz="4" w:space="0" w:color="auto"/>
            </w:tcBorders>
          </w:tcPr>
          <w:p w:rsidR="00406DFF" w:rsidRPr="00D50E91" w:rsidRDefault="00406DFF" w:rsidP="00406DFF">
            <w:pPr>
              <w:autoSpaceDE w:val="0"/>
              <w:autoSpaceDN w:val="0"/>
              <w:adjustRightInd w:val="0"/>
              <w:ind w:left="56" w:right="56"/>
              <w:jc w:val="center"/>
              <w:rPr>
                <w:sz w:val="20"/>
                <w:szCs w:val="20"/>
              </w:rPr>
            </w:pPr>
            <w:r w:rsidRPr="00D50E91">
              <w:rPr>
                <w:sz w:val="20"/>
                <w:szCs w:val="20"/>
              </w:rPr>
              <w:t xml:space="preserve"> 7</w:t>
            </w:r>
          </w:p>
        </w:tc>
        <w:tc>
          <w:tcPr>
            <w:tcW w:w="3676" w:type="dxa"/>
            <w:tcBorders>
              <w:top w:val="single" w:sz="4" w:space="0" w:color="auto"/>
              <w:left w:val="single" w:sz="4" w:space="0" w:color="auto"/>
              <w:bottom w:val="single" w:sz="4" w:space="0" w:color="auto"/>
              <w:right w:val="single" w:sz="4" w:space="0" w:color="auto"/>
            </w:tcBorders>
          </w:tcPr>
          <w:p w:rsidR="00406DFF" w:rsidRPr="00D50E91" w:rsidRDefault="00406DFF" w:rsidP="00C65880">
            <w:pPr>
              <w:autoSpaceDE w:val="0"/>
              <w:autoSpaceDN w:val="0"/>
              <w:adjustRightInd w:val="0"/>
              <w:ind w:left="56" w:right="56"/>
              <w:rPr>
                <w:sz w:val="20"/>
                <w:szCs w:val="20"/>
              </w:rPr>
            </w:pPr>
            <w:r w:rsidRPr="00D50E91">
              <w:rPr>
                <w:sz w:val="20"/>
                <w:szCs w:val="20"/>
              </w:rPr>
              <w:t xml:space="preserve"> NAK és AK osztályú épületek</w:t>
            </w:r>
          </w:p>
        </w:tc>
        <w:tc>
          <w:tcPr>
            <w:tcW w:w="992" w:type="dxa"/>
            <w:tcBorders>
              <w:top w:val="single" w:sz="4" w:space="0" w:color="auto"/>
              <w:left w:val="single" w:sz="4" w:space="0" w:color="auto"/>
              <w:bottom w:val="single" w:sz="4" w:space="0" w:color="auto"/>
              <w:right w:val="single" w:sz="4" w:space="0" w:color="auto"/>
            </w:tcBorders>
          </w:tcPr>
          <w:p w:rsidR="00406DFF" w:rsidRPr="00D50E91" w:rsidRDefault="00406DFF" w:rsidP="00C65880">
            <w:pPr>
              <w:autoSpaceDE w:val="0"/>
              <w:autoSpaceDN w:val="0"/>
              <w:adjustRightInd w:val="0"/>
              <w:ind w:left="56" w:right="56"/>
              <w:jc w:val="center"/>
              <w:rPr>
                <w:sz w:val="20"/>
                <w:szCs w:val="20"/>
              </w:rPr>
            </w:pPr>
            <w:r w:rsidRPr="00D50E91">
              <w:rPr>
                <w:sz w:val="20"/>
                <w:szCs w:val="20"/>
              </w:rPr>
              <w:t xml:space="preserve"> 50</w:t>
            </w:r>
          </w:p>
        </w:tc>
        <w:tc>
          <w:tcPr>
            <w:tcW w:w="992" w:type="dxa"/>
            <w:tcBorders>
              <w:top w:val="single" w:sz="4" w:space="0" w:color="auto"/>
              <w:left w:val="single" w:sz="4" w:space="0" w:color="auto"/>
              <w:bottom w:val="single" w:sz="4" w:space="0" w:color="auto"/>
              <w:right w:val="single" w:sz="4" w:space="0" w:color="auto"/>
            </w:tcBorders>
          </w:tcPr>
          <w:p w:rsidR="00406DFF" w:rsidRPr="00D50E91" w:rsidRDefault="00406DFF" w:rsidP="00C65880">
            <w:pPr>
              <w:autoSpaceDE w:val="0"/>
              <w:autoSpaceDN w:val="0"/>
              <w:adjustRightInd w:val="0"/>
              <w:ind w:left="56" w:right="56"/>
              <w:jc w:val="center"/>
              <w:rPr>
                <w:sz w:val="20"/>
                <w:szCs w:val="20"/>
              </w:rPr>
            </w:pPr>
            <w:r w:rsidRPr="00D50E91">
              <w:rPr>
                <w:sz w:val="20"/>
                <w:szCs w:val="20"/>
              </w:rPr>
              <w:t xml:space="preserve"> 25</w:t>
            </w:r>
          </w:p>
        </w:tc>
        <w:tc>
          <w:tcPr>
            <w:tcW w:w="1056" w:type="dxa"/>
            <w:tcBorders>
              <w:top w:val="single" w:sz="4" w:space="0" w:color="auto"/>
              <w:left w:val="single" w:sz="4" w:space="0" w:color="auto"/>
              <w:bottom w:val="single" w:sz="4" w:space="0" w:color="auto"/>
              <w:right w:val="single" w:sz="4" w:space="0" w:color="auto"/>
            </w:tcBorders>
          </w:tcPr>
          <w:p w:rsidR="00406DFF" w:rsidRPr="00D50E91" w:rsidRDefault="00406DFF" w:rsidP="00C65880">
            <w:pPr>
              <w:autoSpaceDE w:val="0"/>
              <w:autoSpaceDN w:val="0"/>
              <w:adjustRightInd w:val="0"/>
              <w:ind w:left="56" w:right="56"/>
              <w:jc w:val="center"/>
              <w:rPr>
                <w:sz w:val="20"/>
                <w:szCs w:val="20"/>
              </w:rPr>
            </w:pPr>
            <w:r w:rsidRPr="00D50E91">
              <w:rPr>
                <w:sz w:val="20"/>
                <w:szCs w:val="20"/>
              </w:rPr>
              <w:t xml:space="preserve"> 20</w:t>
            </w:r>
          </w:p>
        </w:tc>
        <w:tc>
          <w:tcPr>
            <w:tcW w:w="929" w:type="dxa"/>
            <w:tcBorders>
              <w:top w:val="single" w:sz="4" w:space="0" w:color="auto"/>
              <w:left w:val="single" w:sz="4" w:space="0" w:color="auto"/>
              <w:bottom w:val="single" w:sz="4" w:space="0" w:color="auto"/>
              <w:right w:val="single" w:sz="4" w:space="0" w:color="auto"/>
            </w:tcBorders>
          </w:tcPr>
          <w:p w:rsidR="00406DFF" w:rsidRPr="00D50E91" w:rsidRDefault="00406DFF" w:rsidP="00C65880">
            <w:pPr>
              <w:autoSpaceDE w:val="0"/>
              <w:autoSpaceDN w:val="0"/>
              <w:adjustRightInd w:val="0"/>
              <w:ind w:left="56" w:right="56"/>
              <w:jc w:val="center"/>
              <w:rPr>
                <w:sz w:val="20"/>
                <w:szCs w:val="20"/>
              </w:rPr>
            </w:pPr>
            <w:r w:rsidRPr="00D50E91">
              <w:rPr>
                <w:sz w:val="20"/>
                <w:szCs w:val="20"/>
              </w:rPr>
              <w:t xml:space="preserve"> 60</w:t>
            </w:r>
          </w:p>
        </w:tc>
        <w:tc>
          <w:tcPr>
            <w:tcW w:w="992" w:type="dxa"/>
            <w:tcBorders>
              <w:top w:val="single" w:sz="4" w:space="0" w:color="auto"/>
              <w:left w:val="single" w:sz="4" w:space="0" w:color="auto"/>
              <w:bottom w:val="single" w:sz="4" w:space="0" w:color="auto"/>
              <w:right w:val="single" w:sz="4" w:space="0" w:color="auto"/>
            </w:tcBorders>
          </w:tcPr>
          <w:p w:rsidR="00406DFF" w:rsidRPr="00D50E91" w:rsidRDefault="00406DFF" w:rsidP="00C65880">
            <w:pPr>
              <w:autoSpaceDE w:val="0"/>
              <w:autoSpaceDN w:val="0"/>
              <w:adjustRightInd w:val="0"/>
              <w:ind w:left="56" w:right="56"/>
              <w:jc w:val="center"/>
              <w:rPr>
                <w:sz w:val="20"/>
                <w:szCs w:val="20"/>
              </w:rPr>
            </w:pPr>
            <w:r w:rsidRPr="00D50E91">
              <w:rPr>
                <w:sz w:val="20"/>
                <w:szCs w:val="20"/>
              </w:rPr>
              <w:t xml:space="preserve"> 40</w:t>
            </w:r>
          </w:p>
        </w:tc>
        <w:tc>
          <w:tcPr>
            <w:tcW w:w="996" w:type="dxa"/>
            <w:tcBorders>
              <w:top w:val="single" w:sz="4" w:space="0" w:color="auto"/>
              <w:left w:val="single" w:sz="4" w:space="0" w:color="auto"/>
              <w:bottom w:val="single" w:sz="4" w:space="0" w:color="auto"/>
              <w:right w:val="single" w:sz="4" w:space="0" w:color="auto"/>
            </w:tcBorders>
          </w:tcPr>
          <w:p w:rsidR="00406DFF" w:rsidRPr="00D50E91" w:rsidRDefault="00406DFF" w:rsidP="00C65880">
            <w:pPr>
              <w:autoSpaceDE w:val="0"/>
              <w:autoSpaceDN w:val="0"/>
              <w:adjustRightInd w:val="0"/>
              <w:ind w:left="56" w:right="56"/>
              <w:jc w:val="center"/>
              <w:rPr>
                <w:sz w:val="20"/>
                <w:szCs w:val="20"/>
              </w:rPr>
            </w:pPr>
            <w:r w:rsidRPr="00D50E91">
              <w:rPr>
                <w:sz w:val="20"/>
                <w:szCs w:val="20"/>
              </w:rPr>
              <w:t xml:space="preserve"> 20</w:t>
            </w:r>
          </w:p>
        </w:tc>
        <w:tc>
          <w:tcPr>
            <w:tcW w:w="989" w:type="dxa"/>
            <w:tcBorders>
              <w:top w:val="single" w:sz="4" w:space="0" w:color="auto"/>
              <w:left w:val="single" w:sz="4" w:space="0" w:color="auto"/>
              <w:bottom w:val="single" w:sz="4" w:space="0" w:color="auto"/>
              <w:right w:val="single" w:sz="4" w:space="0" w:color="auto"/>
            </w:tcBorders>
          </w:tcPr>
          <w:p w:rsidR="00406DFF" w:rsidRPr="00D50E91" w:rsidRDefault="00406DFF" w:rsidP="00C65880">
            <w:pPr>
              <w:autoSpaceDE w:val="0"/>
              <w:autoSpaceDN w:val="0"/>
              <w:adjustRightInd w:val="0"/>
              <w:ind w:left="56" w:right="56"/>
              <w:jc w:val="center"/>
              <w:rPr>
                <w:sz w:val="20"/>
                <w:szCs w:val="20"/>
              </w:rPr>
            </w:pPr>
            <w:r w:rsidRPr="00D50E91">
              <w:rPr>
                <w:sz w:val="20"/>
                <w:szCs w:val="20"/>
              </w:rPr>
              <w:t xml:space="preserve"> 150</w:t>
            </w:r>
          </w:p>
        </w:tc>
        <w:tc>
          <w:tcPr>
            <w:tcW w:w="992" w:type="dxa"/>
            <w:tcBorders>
              <w:top w:val="single" w:sz="4" w:space="0" w:color="auto"/>
              <w:left w:val="single" w:sz="4" w:space="0" w:color="auto"/>
              <w:bottom w:val="single" w:sz="4" w:space="0" w:color="auto"/>
              <w:right w:val="single" w:sz="4" w:space="0" w:color="auto"/>
            </w:tcBorders>
          </w:tcPr>
          <w:p w:rsidR="00406DFF" w:rsidRPr="00D50E91" w:rsidRDefault="00406DFF" w:rsidP="00C65880">
            <w:pPr>
              <w:autoSpaceDE w:val="0"/>
              <w:autoSpaceDN w:val="0"/>
              <w:adjustRightInd w:val="0"/>
              <w:ind w:left="56" w:right="56"/>
              <w:jc w:val="center"/>
              <w:rPr>
                <w:sz w:val="20"/>
                <w:szCs w:val="20"/>
              </w:rPr>
            </w:pPr>
            <w:r w:rsidRPr="00D50E91">
              <w:rPr>
                <w:sz w:val="20"/>
                <w:szCs w:val="20"/>
              </w:rPr>
              <w:t xml:space="preserve"> 75</w:t>
            </w:r>
          </w:p>
        </w:tc>
        <w:tc>
          <w:tcPr>
            <w:tcW w:w="992" w:type="dxa"/>
            <w:tcBorders>
              <w:top w:val="single" w:sz="4" w:space="0" w:color="auto"/>
              <w:left w:val="single" w:sz="4" w:space="0" w:color="auto"/>
              <w:bottom w:val="single" w:sz="4" w:space="0" w:color="auto"/>
              <w:right w:val="single" w:sz="4" w:space="0" w:color="auto"/>
            </w:tcBorders>
          </w:tcPr>
          <w:p w:rsidR="00406DFF" w:rsidRPr="00D50E91" w:rsidRDefault="00406DFF" w:rsidP="00C65880">
            <w:pPr>
              <w:autoSpaceDE w:val="0"/>
              <w:autoSpaceDN w:val="0"/>
              <w:adjustRightInd w:val="0"/>
              <w:ind w:left="56" w:right="56"/>
              <w:jc w:val="center"/>
              <w:rPr>
                <w:sz w:val="20"/>
                <w:szCs w:val="20"/>
              </w:rPr>
            </w:pPr>
            <w:r w:rsidRPr="00D50E91">
              <w:rPr>
                <w:sz w:val="20"/>
                <w:szCs w:val="20"/>
              </w:rPr>
              <w:t xml:space="preserve"> 75</w:t>
            </w:r>
          </w:p>
        </w:tc>
      </w:tr>
      <w:tr w:rsidR="00406DFF" w:rsidRPr="00D50E91" w:rsidTr="00406DFF">
        <w:tc>
          <w:tcPr>
            <w:tcW w:w="557" w:type="dxa"/>
            <w:tcBorders>
              <w:top w:val="single" w:sz="4" w:space="0" w:color="auto"/>
              <w:left w:val="single" w:sz="4" w:space="0" w:color="auto"/>
              <w:bottom w:val="single" w:sz="4" w:space="0" w:color="auto"/>
              <w:right w:val="single" w:sz="4" w:space="0" w:color="auto"/>
            </w:tcBorders>
          </w:tcPr>
          <w:p w:rsidR="00406DFF" w:rsidRPr="00D50E91" w:rsidRDefault="00406DFF" w:rsidP="00406DFF">
            <w:pPr>
              <w:autoSpaceDE w:val="0"/>
              <w:autoSpaceDN w:val="0"/>
              <w:adjustRightInd w:val="0"/>
              <w:ind w:left="56" w:right="56"/>
              <w:jc w:val="center"/>
              <w:rPr>
                <w:sz w:val="20"/>
                <w:szCs w:val="20"/>
              </w:rPr>
            </w:pPr>
            <w:r w:rsidRPr="00D50E91">
              <w:rPr>
                <w:sz w:val="20"/>
                <w:szCs w:val="20"/>
              </w:rPr>
              <w:t xml:space="preserve"> 8</w:t>
            </w:r>
          </w:p>
        </w:tc>
        <w:tc>
          <w:tcPr>
            <w:tcW w:w="3676" w:type="dxa"/>
            <w:tcBorders>
              <w:top w:val="single" w:sz="4" w:space="0" w:color="auto"/>
              <w:left w:val="single" w:sz="4" w:space="0" w:color="auto"/>
              <w:bottom w:val="single" w:sz="4" w:space="0" w:color="auto"/>
              <w:right w:val="single" w:sz="4" w:space="0" w:color="auto"/>
            </w:tcBorders>
          </w:tcPr>
          <w:p w:rsidR="00406DFF" w:rsidRPr="00D50E91" w:rsidRDefault="00406DFF" w:rsidP="00C65880">
            <w:pPr>
              <w:autoSpaceDE w:val="0"/>
              <w:autoSpaceDN w:val="0"/>
              <w:adjustRightInd w:val="0"/>
              <w:ind w:left="56" w:right="56"/>
              <w:rPr>
                <w:sz w:val="20"/>
                <w:szCs w:val="20"/>
              </w:rPr>
            </w:pPr>
            <w:r w:rsidRPr="00D50E91">
              <w:rPr>
                <w:sz w:val="20"/>
                <w:szCs w:val="20"/>
              </w:rPr>
              <w:t xml:space="preserve"> Autópálya, autóút</w:t>
            </w:r>
          </w:p>
        </w:tc>
        <w:tc>
          <w:tcPr>
            <w:tcW w:w="992" w:type="dxa"/>
            <w:tcBorders>
              <w:top w:val="single" w:sz="4" w:space="0" w:color="auto"/>
              <w:left w:val="single" w:sz="4" w:space="0" w:color="auto"/>
              <w:bottom w:val="single" w:sz="4" w:space="0" w:color="auto"/>
              <w:right w:val="single" w:sz="4" w:space="0" w:color="auto"/>
            </w:tcBorders>
          </w:tcPr>
          <w:p w:rsidR="00406DFF" w:rsidRPr="00D50E91" w:rsidRDefault="00406DFF" w:rsidP="00C65880">
            <w:pPr>
              <w:autoSpaceDE w:val="0"/>
              <w:autoSpaceDN w:val="0"/>
              <w:adjustRightInd w:val="0"/>
              <w:ind w:left="56" w:right="56"/>
              <w:jc w:val="center"/>
              <w:rPr>
                <w:sz w:val="20"/>
                <w:szCs w:val="20"/>
              </w:rPr>
            </w:pPr>
            <w:r w:rsidRPr="00D50E91">
              <w:rPr>
                <w:sz w:val="20"/>
                <w:szCs w:val="20"/>
              </w:rPr>
              <w:t xml:space="preserve"> 100</w:t>
            </w:r>
          </w:p>
        </w:tc>
        <w:tc>
          <w:tcPr>
            <w:tcW w:w="992" w:type="dxa"/>
            <w:tcBorders>
              <w:top w:val="single" w:sz="4" w:space="0" w:color="auto"/>
              <w:left w:val="single" w:sz="4" w:space="0" w:color="auto"/>
              <w:bottom w:val="single" w:sz="4" w:space="0" w:color="auto"/>
              <w:right w:val="single" w:sz="4" w:space="0" w:color="auto"/>
            </w:tcBorders>
          </w:tcPr>
          <w:p w:rsidR="00406DFF" w:rsidRPr="00D50E91" w:rsidRDefault="00406DFF" w:rsidP="00C65880">
            <w:pPr>
              <w:autoSpaceDE w:val="0"/>
              <w:autoSpaceDN w:val="0"/>
              <w:adjustRightInd w:val="0"/>
              <w:ind w:left="56" w:right="56"/>
              <w:jc w:val="center"/>
              <w:rPr>
                <w:sz w:val="20"/>
                <w:szCs w:val="20"/>
              </w:rPr>
            </w:pPr>
            <w:r w:rsidRPr="00D50E91">
              <w:rPr>
                <w:sz w:val="20"/>
                <w:szCs w:val="20"/>
              </w:rPr>
              <w:t xml:space="preserve"> 100</w:t>
            </w:r>
          </w:p>
        </w:tc>
        <w:tc>
          <w:tcPr>
            <w:tcW w:w="1056" w:type="dxa"/>
            <w:tcBorders>
              <w:top w:val="single" w:sz="4" w:space="0" w:color="auto"/>
              <w:left w:val="single" w:sz="4" w:space="0" w:color="auto"/>
              <w:bottom w:val="single" w:sz="4" w:space="0" w:color="auto"/>
              <w:right w:val="single" w:sz="4" w:space="0" w:color="auto"/>
            </w:tcBorders>
          </w:tcPr>
          <w:p w:rsidR="00406DFF" w:rsidRPr="00D50E91" w:rsidRDefault="00406DFF" w:rsidP="00C65880">
            <w:pPr>
              <w:autoSpaceDE w:val="0"/>
              <w:autoSpaceDN w:val="0"/>
              <w:adjustRightInd w:val="0"/>
              <w:ind w:left="56" w:right="56"/>
              <w:jc w:val="center"/>
              <w:rPr>
                <w:sz w:val="20"/>
                <w:szCs w:val="20"/>
              </w:rPr>
            </w:pPr>
            <w:r w:rsidRPr="00D50E91">
              <w:rPr>
                <w:sz w:val="20"/>
                <w:szCs w:val="20"/>
              </w:rPr>
              <w:t xml:space="preserve"> 100</w:t>
            </w:r>
          </w:p>
        </w:tc>
        <w:tc>
          <w:tcPr>
            <w:tcW w:w="929" w:type="dxa"/>
            <w:tcBorders>
              <w:top w:val="single" w:sz="4" w:space="0" w:color="auto"/>
              <w:left w:val="single" w:sz="4" w:space="0" w:color="auto"/>
              <w:bottom w:val="single" w:sz="4" w:space="0" w:color="auto"/>
              <w:right w:val="single" w:sz="4" w:space="0" w:color="auto"/>
            </w:tcBorders>
          </w:tcPr>
          <w:p w:rsidR="00406DFF" w:rsidRPr="00D50E91" w:rsidRDefault="00406DFF" w:rsidP="00C65880">
            <w:pPr>
              <w:autoSpaceDE w:val="0"/>
              <w:autoSpaceDN w:val="0"/>
              <w:adjustRightInd w:val="0"/>
              <w:ind w:left="56" w:right="56"/>
              <w:jc w:val="center"/>
              <w:rPr>
                <w:sz w:val="20"/>
                <w:szCs w:val="20"/>
              </w:rPr>
            </w:pPr>
            <w:r w:rsidRPr="00D50E91">
              <w:rPr>
                <w:sz w:val="20"/>
                <w:szCs w:val="20"/>
              </w:rPr>
              <w:t xml:space="preserve"> 100</w:t>
            </w:r>
          </w:p>
        </w:tc>
        <w:tc>
          <w:tcPr>
            <w:tcW w:w="992" w:type="dxa"/>
            <w:tcBorders>
              <w:top w:val="single" w:sz="4" w:space="0" w:color="auto"/>
              <w:left w:val="single" w:sz="4" w:space="0" w:color="auto"/>
              <w:bottom w:val="single" w:sz="4" w:space="0" w:color="auto"/>
              <w:right w:val="single" w:sz="4" w:space="0" w:color="auto"/>
            </w:tcBorders>
          </w:tcPr>
          <w:p w:rsidR="00406DFF" w:rsidRPr="00D50E91" w:rsidRDefault="00406DFF" w:rsidP="00C65880">
            <w:pPr>
              <w:autoSpaceDE w:val="0"/>
              <w:autoSpaceDN w:val="0"/>
              <w:adjustRightInd w:val="0"/>
              <w:ind w:left="56" w:right="56"/>
              <w:jc w:val="center"/>
              <w:rPr>
                <w:sz w:val="20"/>
                <w:szCs w:val="20"/>
              </w:rPr>
            </w:pPr>
            <w:r w:rsidRPr="00D50E91">
              <w:rPr>
                <w:sz w:val="20"/>
                <w:szCs w:val="20"/>
              </w:rPr>
              <w:t xml:space="preserve"> 100</w:t>
            </w:r>
          </w:p>
        </w:tc>
        <w:tc>
          <w:tcPr>
            <w:tcW w:w="996" w:type="dxa"/>
            <w:tcBorders>
              <w:top w:val="single" w:sz="4" w:space="0" w:color="auto"/>
              <w:left w:val="single" w:sz="4" w:space="0" w:color="auto"/>
              <w:bottom w:val="single" w:sz="4" w:space="0" w:color="auto"/>
              <w:right w:val="single" w:sz="4" w:space="0" w:color="auto"/>
            </w:tcBorders>
          </w:tcPr>
          <w:p w:rsidR="00406DFF" w:rsidRPr="00D50E91" w:rsidRDefault="00406DFF" w:rsidP="00C65880">
            <w:pPr>
              <w:autoSpaceDE w:val="0"/>
              <w:autoSpaceDN w:val="0"/>
              <w:adjustRightInd w:val="0"/>
              <w:ind w:left="56" w:right="56"/>
              <w:jc w:val="center"/>
              <w:rPr>
                <w:sz w:val="20"/>
                <w:szCs w:val="20"/>
              </w:rPr>
            </w:pPr>
            <w:r w:rsidRPr="00D50E91">
              <w:rPr>
                <w:sz w:val="20"/>
                <w:szCs w:val="20"/>
              </w:rPr>
              <w:t xml:space="preserve"> 100</w:t>
            </w:r>
          </w:p>
        </w:tc>
        <w:tc>
          <w:tcPr>
            <w:tcW w:w="989" w:type="dxa"/>
            <w:tcBorders>
              <w:top w:val="single" w:sz="4" w:space="0" w:color="auto"/>
              <w:left w:val="single" w:sz="4" w:space="0" w:color="auto"/>
              <w:bottom w:val="single" w:sz="4" w:space="0" w:color="auto"/>
              <w:right w:val="single" w:sz="4" w:space="0" w:color="auto"/>
            </w:tcBorders>
          </w:tcPr>
          <w:p w:rsidR="00406DFF" w:rsidRPr="00D50E91" w:rsidRDefault="00406DFF" w:rsidP="00C65880">
            <w:pPr>
              <w:autoSpaceDE w:val="0"/>
              <w:autoSpaceDN w:val="0"/>
              <w:adjustRightInd w:val="0"/>
              <w:ind w:left="56" w:right="56"/>
              <w:jc w:val="center"/>
              <w:rPr>
                <w:sz w:val="20"/>
                <w:szCs w:val="20"/>
              </w:rPr>
            </w:pPr>
            <w:r w:rsidRPr="00D50E91">
              <w:rPr>
                <w:sz w:val="20"/>
                <w:szCs w:val="20"/>
              </w:rPr>
              <w:t xml:space="preserve"> 100</w:t>
            </w:r>
          </w:p>
        </w:tc>
        <w:tc>
          <w:tcPr>
            <w:tcW w:w="992" w:type="dxa"/>
            <w:tcBorders>
              <w:top w:val="single" w:sz="4" w:space="0" w:color="auto"/>
              <w:left w:val="single" w:sz="4" w:space="0" w:color="auto"/>
              <w:bottom w:val="single" w:sz="4" w:space="0" w:color="auto"/>
              <w:right w:val="single" w:sz="4" w:space="0" w:color="auto"/>
            </w:tcBorders>
          </w:tcPr>
          <w:p w:rsidR="00406DFF" w:rsidRPr="00D50E91" w:rsidRDefault="00406DFF" w:rsidP="00C65880">
            <w:pPr>
              <w:autoSpaceDE w:val="0"/>
              <w:autoSpaceDN w:val="0"/>
              <w:adjustRightInd w:val="0"/>
              <w:ind w:left="56" w:right="56"/>
              <w:jc w:val="center"/>
              <w:rPr>
                <w:sz w:val="20"/>
                <w:szCs w:val="20"/>
              </w:rPr>
            </w:pPr>
            <w:r w:rsidRPr="00D50E91">
              <w:rPr>
                <w:sz w:val="20"/>
                <w:szCs w:val="20"/>
              </w:rPr>
              <w:t xml:space="preserve"> 100</w:t>
            </w:r>
          </w:p>
        </w:tc>
        <w:tc>
          <w:tcPr>
            <w:tcW w:w="992" w:type="dxa"/>
            <w:tcBorders>
              <w:top w:val="single" w:sz="4" w:space="0" w:color="auto"/>
              <w:left w:val="single" w:sz="4" w:space="0" w:color="auto"/>
              <w:bottom w:val="single" w:sz="4" w:space="0" w:color="auto"/>
              <w:right w:val="single" w:sz="4" w:space="0" w:color="auto"/>
            </w:tcBorders>
          </w:tcPr>
          <w:p w:rsidR="00406DFF" w:rsidRPr="00D50E91" w:rsidRDefault="00406DFF" w:rsidP="00C65880">
            <w:pPr>
              <w:autoSpaceDE w:val="0"/>
              <w:autoSpaceDN w:val="0"/>
              <w:adjustRightInd w:val="0"/>
              <w:ind w:left="56" w:right="56"/>
              <w:jc w:val="center"/>
              <w:rPr>
                <w:sz w:val="20"/>
                <w:szCs w:val="20"/>
              </w:rPr>
            </w:pPr>
            <w:r w:rsidRPr="00D50E91">
              <w:rPr>
                <w:sz w:val="20"/>
                <w:szCs w:val="20"/>
              </w:rPr>
              <w:t xml:space="preserve"> 100</w:t>
            </w:r>
          </w:p>
        </w:tc>
      </w:tr>
      <w:tr w:rsidR="00406DFF" w:rsidRPr="00D50E91" w:rsidTr="00406DFF">
        <w:tc>
          <w:tcPr>
            <w:tcW w:w="557" w:type="dxa"/>
            <w:tcBorders>
              <w:top w:val="single" w:sz="4" w:space="0" w:color="auto"/>
              <w:left w:val="single" w:sz="4" w:space="0" w:color="auto"/>
              <w:bottom w:val="single" w:sz="4" w:space="0" w:color="auto"/>
              <w:right w:val="single" w:sz="4" w:space="0" w:color="auto"/>
            </w:tcBorders>
          </w:tcPr>
          <w:p w:rsidR="00406DFF" w:rsidRPr="00D50E91" w:rsidRDefault="00406DFF" w:rsidP="00406DFF">
            <w:pPr>
              <w:autoSpaceDE w:val="0"/>
              <w:autoSpaceDN w:val="0"/>
              <w:adjustRightInd w:val="0"/>
              <w:ind w:left="56" w:right="56"/>
              <w:jc w:val="center"/>
              <w:rPr>
                <w:sz w:val="20"/>
                <w:szCs w:val="20"/>
              </w:rPr>
            </w:pPr>
            <w:r w:rsidRPr="00D50E91">
              <w:rPr>
                <w:sz w:val="20"/>
                <w:szCs w:val="20"/>
              </w:rPr>
              <w:t xml:space="preserve"> 9</w:t>
            </w:r>
          </w:p>
        </w:tc>
        <w:tc>
          <w:tcPr>
            <w:tcW w:w="3676" w:type="dxa"/>
            <w:tcBorders>
              <w:top w:val="single" w:sz="4" w:space="0" w:color="auto"/>
              <w:left w:val="single" w:sz="4" w:space="0" w:color="auto"/>
              <w:bottom w:val="single" w:sz="4" w:space="0" w:color="auto"/>
              <w:right w:val="single" w:sz="4" w:space="0" w:color="auto"/>
            </w:tcBorders>
          </w:tcPr>
          <w:p w:rsidR="00406DFF" w:rsidRPr="00D50E91" w:rsidRDefault="00406DFF" w:rsidP="00C65880">
            <w:pPr>
              <w:autoSpaceDE w:val="0"/>
              <w:autoSpaceDN w:val="0"/>
              <w:adjustRightInd w:val="0"/>
              <w:ind w:left="56" w:right="56"/>
              <w:rPr>
                <w:sz w:val="20"/>
                <w:szCs w:val="20"/>
              </w:rPr>
            </w:pPr>
            <w:r w:rsidRPr="00D50E91">
              <w:rPr>
                <w:sz w:val="20"/>
                <w:szCs w:val="20"/>
              </w:rPr>
              <w:t xml:space="preserve"> Egyéb kiépített közforgalmi út</w:t>
            </w:r>
          </w:p>
        </w:tc>
        <w:tc>
          <w:tcPr>
            <w:tcW w:w="992" w:type="dxa"/>
            <w:tcBorders>
              <w:top w:val="single" w:sz="4" w:space="0" w:color="auto"/>
              <w:left w:val="single" w:sz="4" w:space="0" w:color="auto"/>
              <w:bottom w:val="single" w:sz="4" w:space="0" w:color="auto"/>
              <w:right w:val="single" w:sz="4" w:space="0" w:color="auto"/>
            </w:tcBorders>
          </w:tcPr>
          <w:p w:rsidR="00406DFF" w:rsidRPr="00D50E91" w:rsidRDefault="00406DFF" w:rsidP="00C65880">
            <w:pPr>
              <w:autoSpaceDE w:val="0"/>
              <w:autoSpaceDN w:val="0"/>
              <w:adjustRightInd w:val="0"/>
              <w:ind w:left="56" w:right="56"/>
              <w:jc w:val="center"/>
              <w:rPr>
                <w:sz w:val="20"/>
                <w:szCs w:val="20"/>
              </w:rPr>
            </w:pPr>
            <w:r w:rsidRPr="00D50E91">
              <w:rPr>
                <w:sz w:val="20"/>
                <w:szCs w:val="20"/>
              </w:rPr>
              <w:t xml:space="preserve"> 50</w:t>
            </w:r>
          </w:p>
        </w:tc>
        <w:tc>
          <w:tcPr>
            <w:tcW w:w="992" w:type="dxa"/>
            <w:tcBorders>
              <w:top w:val="single" w:sz="4" w:space="0" w:color="auto"/>
              <w:left w:val="single" w:sz="4" w:space="0" w:color="auto"/>
              <w:bottom w:val="single" w:sz="4" w:space="0" w:color="auto"/>
              <w:right w:val="single" w:sz="4" w:space="0" w:color="auto"/>
            </w:tcBorders>
          </w:tcPr>
          <w:p w:rsidR="00406DFF" w:rsidRPr="00D50E91" w:rsidRDefault="00406DFF" w:rsidP="00C65880">
            <w:pPr>
              <w:autoSpaceDE w:val="0"/>
              <w:autoSpaceDN w:val="0"/>
              <w:adjustRightInd w:val="0"/>
              <w:ind w:left="56" w:right="56"/>
              <w:jc w:val="center"/>
              <w:rPr>
                <w:sz w:val="20"/>
                <w:szCs w:val="20"/>
              </w:rPr>
            </w:pPr>
            <w:r w:rsidRPr="00D50E91">
              <w:rPr>
                <w:sz w:val="20"/>
                <w:szCs w:val="20"/>
              </w:rPr>
              <w:t xml:space="preserve"> 50</w:t>
            </w:r>
          </w:p>
        </w:tc>
        <w:tc>
          <w:tcPr>
            <w:tcW w:w="1056" w:type="dxa"/>
            <w:tcBorders>
              <w:top w:val="single" w:sz="4" w:space="0" w:color="auto"/>
              <w:left w:val="single" w:sz="4" w:space="0" w:color="auto"/>
              <w:bottom w:val="single" w:sz="4" w:space="0" w:color="auto"/>
              <w:right w:val="single" w:sz="4" w:space="0" w:color="auto"/>
            </w:tcBorders>
          </w:tcPr>
          <w:p w:rsidR="00406DFF" w:rsidRPr="00D50E91" w:rsidRDefault="00406DFF" w:rsidP="00C65880">
            <w:pPr>
              <w:autoSpaceDE w:val="0"/>
              <w:autoSpaceDN w:val="0"/>
              <w:adjustRightInd w:val="0"/>
              <w:ind w:left="56" w:right="56"/>
              <w:jc w:val="center"/>
              <w:rPr>
                <w:sz w:val="20"/>
                <w:szCs w:val="20"/>
              </w:rPr>
            </w:pPr>
            <w:r w:rsidRPr="00D50E91">
              <w:rPr>
                <w:sz w:val="20"/>
                <w:szCs w:val="20"/>
              </w:rPr>
              <w:t xml:space="preserve"> 50</w:t>
            </w:r>
          </w:p>
        </w:tc>
        <w:tc>
          <w:tcPr>
            <w:tcW w:w="929" w:type="dxa"/>
            <w:tcBorders>
              <w:top w:val="single" w:sz="4" w:space="0" w:color="auto"/>
              <w:left w:val="single" w:sz="4" w:space="0" w:color="auto"/>
              <w:bottom w:val="single" w:sz="4" w:space="0" w:color="auto"/>
              <w:right w:val="single" w:sz="4" w:space="0" w:color="auto"/>
            </w:tcBorders>
          </w:tcPr>
          <w:p w:rsidR="00406DFF" w:rsidRPr="00D50E91" w:rsidRDefault="00406DFF" w:rsidP="00C65880">
            <w:pPr>
              <w:autoSpaceDE w:val="0"/>
              <w:autoSpaceDN w:val="0"/>
              <w:adjustRightInd w:val="0"/>
              <w:ind w:left="56" w:right="56"/>
              <w:jc w:val="center"/>
              <w:rPr>
                <w:sz w:val="20"/>
                <w:szCs w:val="20"/>
              </w:rPr>
            </w:pPr>
            <w:r w:rsidRPr="00D50E91">
              <w:rPr>
                <w:sz w:val="20"/>
                <w:szCs w:val="20"/>
              </w:rPr>
              <w:t xml:space="preserve"> 50</w:t>
            </w:r>
          </w:p>
        </w:tc>
        <w:tc>
          <w:tcPr>
            <w:tcW w:w="992" w:type="dxa"/>
            <w:tcBorders>
              <w:top w:val="single" w:sz="4" w:space="0" w:color="auto"/>
              <w:left w:val="single" w:sz="4" w:space="0" w:color="auto"/>
              <w:bottom w:val="single" w:sz="4" w:space="0" w:color="auto"/>
              <w:right w:val="single" w:sz="4" w:space="0" w:color="auto"/>
            </w:tcBorders>
          </w:tcPr>
          <w:p w:rsidR="00406DFF" w:rsidRPr="00D50E91" w:rsidRDefault="00406DFF" w:rsidP="00C65880">
            <w:pPr>
              <w:autoSpaceDE w:val="0"/>
              <w:autoSpaceDN w:val="0"/>
              <w:adjustRightInd w:val="0"/>
              <w:ind w:left="56" w:right="56"/>
              <w:jc w:val="center"/>
              <w:rPr>
                <w:sz w:val="20"/>
                <w:szCs w:val="20"/>
              </w:rPr>
            </w:pPr>
            <w:r w:rsidRPr="00D50E91">
              <w:rPr>
                <w:sz w:val="20"/>
                <w:szCs w:val="20"/>
              </w:rPr>
              <w:t xml:space="preserve"> 50</w:t>
            </w:r>
          </w:p>
        </w:tc>
        <w:tc>
          <w:tcPr>
            <w:tcW w:w="996" w:type="dxa"/>
            <w:tcBorders>
              <w:top w:val="single" w:sz="4" w:space="0" w:color="auto"/>
              <w:left w:val="single" w:sz="4" w:space="0" w:color="auto"/>
              <w:bottom w:val="single" w:sz="4" w:space="0" w:color="auto"/>
              <w:right w:val="single" w:sz="4" w:space="0" w:color="auto"/>
            </w:tcBorders>
          </w:tcPr>
          <w:p w:rsidR="00406DFF" w:rsidRPr="00D50E91" w:rsidRDefault="00406DFF" w:rsidP="00C65880">
            <w:pPr>
              <w:autoSpaceDE w:val="0"/>
              <w:autoSpaceDN w:val="0"/>
              <w:adjustRightInd w:val="0"/>
              <w:ind w:left="56" w:right="56"/>
              <w:jc w:val="center"/>
              <w:rPr>
                <w:sz w:val="20"/>
                <w:szCs w:val="20"/>
              </w:rPr>
            </w:pPr>
            <w:r w:rsidRPr="00D50E91">
              <w:rPr>
                <w:sz w:val="20"/>
                <w:szCs w:val="20"/>
              </w:rPr>
              <w:t xml:space="preserve"> 50</w:t>
            </w:r>
          </w:p>
        </w:tc>
        <w:tc>
          <w:tcPr>
            <w:tcW w:w="989" w:type="dxa"/>
            <w:tcBorders>
              <w:top w:val="single" w:sz="4" w:space="0" w:color="auto"/>
              <w:left w:val="single" w:sz="4" w:space="0" w:color="auto"/>
              <w:bottom w:val="single" w:sz="4" w:space="0" w:color="auto"/>
              <w:right w:val="single" w:sz="4" w:space="0" w:color="auto"/>
            </w:tcBorders>
          </w:tcPr>
          <w:p w:rsidR="00406DFF" w:rsidRPr="00D50E91" w:rsidRDefault="00406DFF" w:rsidP="00C65880">
            <w:pPr>
              <w:autoSpaceDE w:val="0"/>
              <w:autoSpaceDN w:val="0"/>
              <w:adjustRightInd w:val="0"/>
              <w:ind w:left="56" w:right="56"/>
              <w:jc w:val="center"/>
              <w:rPr>
                <w:sz w:val="20"/>
                <w:szCs w:val="20"/>
              </w:rPr>
            </w:pPr>
            <w:r w:rsidRPr="00D50E91">
              <w:rPr>
                <w:sz w:val="20"/>
                <w:szCs w:val="20"/>
              </w:rPr>
              <w:t xml:space="preserve"> 50</w:t>
            </w:r>
          </w:p>
        </w:tc>
        <w:tc>
          <w:tcPr>
            <w:tcW w:w="992" w:type="dxa"/>
            <w:tcBorders>
              <w:top w:val="single" w:sz="4" w:space="0" w:color="auto"/>
              <w:left w:val="single" w:sz="4" w:space="0" w:color="auto"/>
              <w:bottom w:val="single" w:sz="4" w:space="0" w:color="auto"/>
              <w:right w:val="single" w:sz="4" w:space="0" w:color="auto"/>
            </w:tcBorders>
          </w:tcPr>
          <w:p w:rsidR="00406DFF" w:rsidRPr="00D50E91" w:rsidRDefault="00406DFF" w:rsidP="00C65880">
            <w:pPr>
              <w:autoSpaceDE w:val="0"/>
              <w:autoSpaceDN w:val="0"/>
              <w:adjustRightInd w:val="0"/>
              <w:ind w:left="56" w:right="56"/>
              <w:jc w:val="center"/>
              <w:rPr>
                <w:sz w:val="20"/>
                <w:szCs w:val="20"/>
              </w:rPr>
            </w:pPr>
            <w:r w:rsidRPr="00D50E91">
              <w:rPr>
                <w:sz w:val="20"/>
                <w:szCs w:val="20"/>
              </w:rPr>
              <w:t xml:space="preserve"> 50</w:t>
            </w:r>
          </w:p>
        </w:tc>
        <w:tc>
          <w:tcPr>
            <w:tcW w:w="992" w:type="dxa"/>
            <w:tcBorders>
              <w:top w:val="single" w:sz="4" w:space="0" w:color="auto"/>
              <w:left w:val="single" w:sz="4" w:space="0" w:color="auto"/>
              <w:bottom w:val="single" w:sz="4" w:space="0" w:color="auto"/>
              <w:right w:val="single" w:sz="4" w:space="0" w:color="auto"/>
            </w:tcBorders>
          </w:tcPr>
          <w:p w:rsidR="00406DFF" w:rsidRPr="00D50E91" w:rsidRDefault="00406DFF" w:rsidP="00C65880">
            <w:pPr>
              <w:autoSpaceDE w:val="0"/>
              <w:autoSpaceDN w:val="0"/>
              <w:adjustRightInd w:val="0"/>
              <w:ind w:left="56" w:right="56"/>
              <w:jc w:val="center"/>
              <w:rPr>
                <w:sz w:val="20"/>
                <w:szCs w:val="20"/>
              </w:rPr>
            </w:pPr>
            <w:r w:rsidRPr="00D50E91">
              <w:rPr>
                <w:sz w:val="20"/>
                <w:szCs w:val="20"/>
              </w:rPr>
              <w:t xml:space="preserve"> 50</w:t>
            </w:r>
          </w:p>
        </w:tc>
      </w:tr>
      <w:tr w:rsidR="00406DFF" w:rsidRPr="00D50E91" w:rsidTr="00406DFF">
        <w:tc>
          <w:tcPr>
            <w:tcW w:w="557" w:type="dxa"/>
            <w:tcBorders>
              <w:top w:val="single" w:sz="4" w:space="0" w:color="auto"/>
              <w:left w:val="single" w:sz="4" w:space="0" w:color="auto"/>
              <w:bottom w:val="single" w:sz="4" w:space="0" w:color="auto"/>
              <w:right w:val="single" w:sz="4" w:space="0" w:color="auto"/>
            </w:tcBorders>
          </w:tcPr>
          <w:p w:rsidR="00406DFF" w:rsidRPr="00D50E91" w:rsidRDefault="00406DFF" w:rsidP="00406DFF">
            <w:pPr>
              <w:autoSpaceDE w:val="0"/>
              <w:autoSpaceDN w:val="0"/>
              <w:adjustRightInd w:val="0"/>
              <w:ind w:left="56" w:right="56"/>
              <w:jc w:val="center"/>
              <w:rPr>
                <w:sz w:val="20"/>
                <w:szCs w:val="20"/>
              </w:rPr>
            </w:pPr>
            <w:r w:rsidRPr="00D50E91">
              <w:rPr>
                <w:sz w:val="20"/>
                <w:szCs w:val="20"/>
              </w:rPr>
              <w:t xml:space="preserve"> 10</w:t>
            </w:r>
          </w:p>
        </w:tc>
        <w:tc>
          <w:tcPr>
            <w:tcW w:w="3676" w:type="dxa"/>
            <w:tcBorders>
              <w:top w:val="single" w:sz="4" w:space="0" w:color="auto"/>
              <w:left w:val="single" w:sz="4" w:space="0" w:color="auto"/>
              <w:bottom w:val="single" w:sz="4" w:space="0" w:color="auto"/>
              <w:right w:val="single" w:sz="4" w:space="0" w:color="auto"/>
            </w:tcBorders>
          </w:tcPr>
          <w:p w:rsidR="00406DFF" w:rsidRPr="00D50E91" w:rsidRDefault="00406DFF" w:rsidP="00C65880">
            <w:pPr>
              <w:autoSpaceDE w:val="0"/>
              <w:autoSpaceDN w:val="0"/>
              <w:adjustRightInd w:val="0"/>
              <w:ind w:left="56" w:right="56"/>
              <w:rPr>
                <w:sz w:val="20"/>
                <w:szCs w:val="20"/>
              </w:rPr>
            </w:pPr>
            <w:r w:rsidRPr="00D50E91">
              <w:rPr>
                <w:sz w:val="20"/>
                <w:szCs w:val="20"/>
              </w:rPr>
              <w:t xml:space="preserve"> Vonat közlekedésére használt vágány</w:t>
            </w:r>
          </w:p>
        </w:tc>
        <w:tc>
          <w:tcPr>
            <w:tcW w:w="992" w:type="dxa"/>
            <w:tcBorders>
              <w:top w:val="single" w:sz="4" w:space="0" w:color="auto"/>
              <w:left w:val="single" w:sz="4" w:space="0" w:color="auto"/>
              <w:bottom w:val="single" w:sz="4" w:space="0" w:color="auto"/>
              <w:right w:val="single" w:sz="4" w:space="0" w:color="auto"/>
            </w:tcBorders>
          </w:tcPr>
          <w:p w:rsidR="00406DFF" w:rsidRPr="00D50E91" w:rsidRDefault="00406DFF" w:rsidP="00C65880">
            <w:pPr>
              <w:autoSpaceDE w:val="0"/>
              <w:autoSpaceDN w:val="0"/>
              <w:adjustRightInd w:val="0"/>
              <w:ind w:left="56" w:right="56"/>
              <w:jc w:val="center"/>
              <w:rPr>
                <w:sz w:val="20"/>
                <w:szCs w:val="20"/>
              </w:rPr>
            </w:pPr>
            <w:r w:rsidRPr="00D50E91">
              <w:rPr>
                <w:sz w:val="20"/>
                <w:szCs w:val="20"/>
              </w:rPr>
              <w:t xml:space="preserve"> 100</w:t>
            </w:r>
          </w:p>
        </w:tc>
        <w:tc>
          <w:tcPr>
            <w:tcW w:w="992" w:type="dxa"/>
            <w:tcBorders>
              <w:top w:val="single" w:sz="4" w:space="0" w:color="auto"/>
              <w:left w:val="single" w:sz="4" w:space="0" w:color="auto"/>
              <w:bottom w:val="single" w:sz="4" w:space="0" w:color="auto"/>
              <w:right w:val="single" w:sz="4" w:space="0" w:color="auto"/>
            </w:tcBorders>
          </w:tcPr>
          <w:p w:rsidR="00406DFF" w:rsidRPr="00D50E91" w:rsidRDefault="00406DFF" w:rsidP="00C65880">
            <w:pPr>
              <w:autoSpaceDE w:val="0"/>
              <w:autoSpaceDN w:val="0"/>
              <w:adjustRightInd w:val="0"/>
              <w:ind w:left="56" w:right="56"/>
              <w:jc w:val="center"/>
              <w:rPr>
                <w:sz w:val="20"/>
                <w:szCs w:val="20"/>
              </w:rPr>
            </w:pPr>
            <w:r w:rsidRPr="00D50E91">
              <w:rPr>
                <w:sz w:val="20"/>
                <w:szCs w:val="20"/>
              </w:rPr>
              <w:t xml:space="preserve"> 100</w:t>
            </w:r>
          </w:p>
        </w:tc>
        <w:tc>
          <w:tcPr>
            <w:tcW w:w="1056" w:type="dxa"/>
            <w:tcBorders>
              <w:top w:val="single" w:sz="4" w:space="0" w:color="auto"/>
              <w:left w:val="single" w:sz="4" w:space="0" w:color="auto"/>
              <w:bottom w:val="single" w:sz="4" w:space="0" w:color="auto"/>
              <w:right w:val="single" w:sz="4" w:space="0" w:color="auto"/>
            </w:tcBorders>
          </w:tcPr>
          <w:p w:rsidR="00406DFF" w:rsidRPr="00D50E91" w:rsidRDefault="00406DFF" w:rsidP="00C65880">
            <w:pPr>
              <w:autoSpaceDE w:val="0"/>
              <w:autoSpaceDN w:val="0"/>
              <w:adjustRightInd w:val="0"/>
              <w:ind w:left="56" w:right="56"/>
              <w:jc w:val="center"/>
              <w:rPr>
                <w:sz w:val="20"/>
                <w:szCs w:val="20"/>
              </w:rPr>
            </w:pPr>
            <w:r w:rsidRPr="00D50E91">
              <w:rPr>
                <w:sz w:val="20"/>
                <w:szCs w:val="20"/>
              </w:rPr>
              <w:t xml:space="preserve"> 50</w:t>
            </w:r>
          </w:p>
        </w:tc>
        <w:tc>
          <w:tcPr>
            <w:tcW w:w="929" w:type="dxa"/>
            <w:tcBorders>
              <w:top w:val="single" w:sz="4" w:space="0" w:color="auto"/>
              <w:left w:val="single" w:sz="4" w:space="0" w:color="auto"/>
              <w:bottom w:val="single" w:sz="4" w:space="0" w:color="auto"/>
              <w:right w:val="single" w:sz="4" w:space="0" w:color="auto"/>
            </w:tcBorders>
          </w:tcPr>
          <w:p w:rsidR="00406DFF" w:rsidRPr="00D50E91" w:rsidRDefault="00406DFF" w:rsidP="00C65880">
            <w:pPr>
              <w:autoSpaceDE w:val="0"/>
              <w:autoSpaceDN w:val="0"/>
              <w:adjustRightInd w:val="0"/>
              <w:ind w:left="56" w:right="56"/>
              <w:jc w:val="center"/>
              <w:rPr>
                <w:sz w:val="20"/>
                <w:szCs w:val="20"/>
              </w:rPr>
            </w:pPr>
            <w:r w:rsidRPr="00D50E91">
              <w:rPr>
                <w:sz w:val="20"/>
                <w:szCs w:val="20"/>
              </w:rPr>
              <w:t xml:space="preserve"> 100</w:t>
            </w:r>
          </w:p>
        </w:tc>
        <w:tc>
          <w:tcPr>
            <w:tcW w:w="992" w:type="dxa"/>
            <w:tcBorders>
              <w:top w:val="single" w:sz="4" w:space="0" w:color="auto"/>
              <w:left w:val="single" w:sz="4" w:space="0" w:color="auto"/>
              <w:bottom w:val="single" w:sz="4" w:space="0" w:color="auto"/>
              <w:right w:val="single" w:sz="4" w:space="0" w:color="auto"/>
            </w:tcBorders>
          </w:tcPr>
          <w:p w:rsidR="00406DFF" w:rsidRPr="00D50E91" w:rsidRDefault="00406DFF" w:rsidP="00C65880">
            <w:pPr>
              <w:autoSpaceDE w:val="0"/>
              <w:autoSpaceDN w:val="0"/>
              <w:adjustRightInd w:val="0"/>
              <w:ind w:left="56" w:right="56"/>
              <w:jc w:val="center"/>
              <w:rPr>
                <w:sz w:val="20"/>
                <w:szCs w:val="20"/>
              </w:rPr>
            </w:pPr>
            <w:r w:rsidRPr="00D50E91">
              <w:rPr>
                <w:sz w:val="20"/>
                <w:szCs w:val="20"/>
              </w:rPr>
              <w:t xml:space="preserve"> 100</w:t>
            </w:r>
          </w:p>
        </w:tc>
        <w:tc>
          <w:tcPr>
            <w:tcW w:w="996" w:type="dxa"/>
            <w:tcBorders>
              <w:top w:val="single" w:sz="4" w:space="0" w:color="auto"/>
              <w:left w:val="single" w:sz="4" w:space="0" w:color="auto"/>
              <w:bottom w:val="single" w:sz="4" w:space="0" w:color="auto"/>
              <w:right w:val="single" w:sz="4" w:space="0" w:color="auto"/>
            </w:tcBorders>
          </w:tcPr>
          <w:p w:rsidR="00406DFF" w:rsidRPr="00D50E91" w:rsidRDefault="00406DFF" w:rsidP="00C65880">
            <w:pPr>
              <w:autoSpaceDE w:val="0"/>
              <w:autoSpaceDN w:val="0"/>
              <w:adjustRightInd w:val="0"/>
              <w:ind w:left="56" w:right="56"/>
              <w:jc w:val="center"/>
              <w:rPr>
                <w:sz w:val="20"/>
                <w:szCs w:val="20"/>
              </w:rPr>
            </w:pPr>
            <w:r w:rsidRPr="00D50E91">
              <w:rPr>
                <w:sz w:val="20"/>
                <w:szCs w:val="20"/>
              </w:rPr>
              <w:t xml:space="preserve"> 50</w:t>
            </w:r>
          </w:p>
        </w:tc>
        <w:tc>
          <w:tcPr>
            <w:tcW w:w="989" w:type="dxa"/>
            <w:tcBorders>
              <w:top w:val="single" w:sz="4" w:space="0" w:color="auto"/>
              <w:left w:val="single" w:sz="4" w:space="0" w:color="auto"/>
              <w:bottom w:val="single" w:sz="4" w:space="0" w:color="auto"/>
              <w:right w:val="single" w:sz="4" w:space="0" w:color="auto"/>
            </w:tcBorders>
          </w:tcPr>
          <w:p w:rsidR="00406DFF" w:rsidRPr="00D50E91" w:rsidRDefault="00406DFF" w:rsidP="00C65880">
            <w:pPr>
              <w:autoSpaceDE w:val="0"/>
              <w:autoSpaceDN w:val="0"/>
              <w:adjustRightInd w:val="0"/>
              <w:ind w:left="56" w:right="56"/>
              <w:jc w:val="center"/>
              <w:rPr>
                <w:sz w:val="20"/>
                <w:szCs w:val="20"/>
              </w:rPr>
            </w:pPr>
            <w:r w:rsidRPr="00D50E91">
              <w:rPr>
                <w:sz w:val="20"/>
                <w:szCs w:val="20"/>
              </w:rPr>
              <w:t xml:space="preserve"> 100</w:t>
            </w:r>
          </w:p>
        </w:tc>
        <w:tc>
          <w:tcPr>
            <w:tcW w:w="992" w:type="dxa"/>
            <w:tcBorders>
              <w:top w:val="single" w:sz="4" w:space="0" w:color="auto"/>
              <w:left w:val="single" w:sz="4" w:space="0" w:color="auto"/>
              <w:bottom w:val="single" w:sz="4" w:space="0" w:color="auto"/>
              <w:right w:val="single" w:sz="4" w:space="0" w:color="auto"/>
            </w:tcBorders>
          </w:tcPr>
          <w:p w:rsidR="00406DFF" w:rsidRPr="00D50E91" w:rsidRDefault="00406DFF" w:rsidP="00C65880">
            <w:pPr>
              <w:autoSpaceDE w:val="0"/>
              <w:autoSpaceDN w:val="0"/>
              <w:adjustRightInd w:val="0"/>
              <w:ind w:left="56" w:right="56"/>
              <w:jc w:val="center"/>
              <w:rPr>
                <w:sz w:val="20"/>
                <w:szCs w:val="20"/>
              </w:rPr>
            </w:pPr>
            <w:r w:rsidRPr="00D50E91">
              <w:rPr>
                <w:sz w:val="20"/>
                <w:szCs w:val="20"/>
              </w:rPr>
              <w:t xml:space="preserve"> 100</w:t>
            </w:r>
          </w:p>
        </w:tc>
        <w:tc>
          <w:tcPr>
            <w:tcW w:w="992" w:type="dxa"/>
            <w:tcBorders>
              <w:top w:val="single" w:sz="4" w:space="0" w:color="auto"/>
              <w:left w:val="single" w:sz="4" w:space="0" w:color="auto"/>
              <w:bottom w:val="single" w:sz="4" w:space="0" w:color="auto"/>
              <w:right w:val="single" w:sz="4" w:space="0" w:color="auto"/>
            </w:tcBorders>
          </w:tcPr>
          <w:p w:rsidR="00406DFF" w:rsidRPr="00D50E91" w:rsidRDefault="00406DFF" w:rsidP="00C65880">
            <w:pPr>
              <w:autoSpaceDE w:val="0"/>
              <w:autoSpaceDN w:val="0"/>
              <w:adjustRightInd w:val="0"/>
              <w:ind w:left="56" w:right="56"/>
              <w:jc w:val="center"/>
              <w:rPr>
                <w:sz w:val="20"/>
                <w:szCs w:val="20"/>
              </w:rPr>
            </w:pPr>
            <w:r w:rsidRPr="00D50E91">
              <w:rPr>
                <w:sz w:val="20"/>
                <w:szCs w:val="20"/>
              </w:rPr>
              <w:t xml:space="preserve"> 50</w:t>
            </w:r>
          </w:p>
        </w:tc>
      </w:tr>
      <w:tr w:rsidR="00406DFF" w:rsidRPr="00D50E91" w:rsidTr="00406DFF">
        <w:tc>
          <w:tcPr>
            <w:tcW w:w="557" w:type="dxa"/>
            <w:tcBorders>
              <w:top w:val="single" w:sz="4" w:space="0" w:color="auto"/>
              <w:left w:val="single" w:sz="4" w:space="0" w:color="auto"/>
              <w:bottom w:val="single" w:sz="4" w:space="0" w:color="auto"/>
              <w:right w:val="single" w:sz="4" w:space="0" w:color="auto"/>
            </w:tcBorders>
          </w:tcPr>
          <w:p w:rsidR="00406DFF" w:rsidRPr="00D50E91" w:rsidRDefault="00406DFF" w:rsidP="00406DFF">
            <w:pPr>
              <w:autoSpaceDE w:val="0"/>
              <w:autoSpaceDN w:val="0"/>
              <w:adjustRightInd w:val="0"/>
              <w:ind w:left="56" w:right="56"/>
              <w:jc w:val="center"/>
              <w:rPr>
                <w:sz w:val="20"/>
                <w:szCs w:val="20"/>
              </w:rPr>
            </w:pPr>
            <w:r w:rsidRPr="00D50E91">
              <w:rPr>
                <w:sz w:val="20"/>
                <w:szCs w:val="20"/>
              </w:rPr>
              <w:t xml:space="preserve"> 11</w:t>
            </w:r>
          </w:p>
        </w:tc>
        <w:tc>
          <w:tcPr>
            <w:tcW w:w="3676" w:type="dxa"/>
            <w:tcBorders>
              <w:top w:val="single" w:sz="4" w:space="0" w:color="auto"/>
              <w:left w:val="single" w:sz="4" w:space="0" w:color="auto"/>
              <w:bottom w:val="single" w:sz="4" w:space="0" w:color="auto"/>
              <w:right w:val="single" w:sz="4" w:space="0" w:color="auto"/>
            </w:tcBorders>
          </w:tcPr>
          <w:p w:rsidR="00406DFF" w:rsidRPr="00D50E91" w:rsidRDefault="00406DFF" w:rsidP="00C65880">
            <w:pPr>
              <w:autoSpaceDE w:val="0"/>
              <w:autoSpaceDN w:val="0"/>
              <w:adjustRightInd w:val="0"/>
              <w:ind w:left="56" w:right="56"/>
              <w:rPr>
                <w:sz w:val="20"/>
                <w:szCs w:val="20"/>
              </w:rPr>
            </w:pPr>
            <w:r w:rsidRPr="00D50E91">
              <w:rPr>
                <w:sz w:val="20"/>
                <w:szCs w:val="20"/>
              </w:rPr>
              <w:t xml:space="preserve"> Vasútállomás</w:t>
            </w:r>
          </w:p>
        </w:tc>
        <w:tc>
          <w:tcPr>
            <w:tcW w:w="992" w:type="dxa"/>
            <w:tcBorders>
              <w:top w:val="single" w:sz="4" w:space="0" w:color="auto"/>
              <w:left w:val="single" w:sz="4" w:space="0" w:color="auto"/>
              <w:bottom w:val="single" w:sz="4" w:space="0" w:color="auto"/>
              <w:right w:val="single" w:sz="4" w:space="0" w:color="auto"/>
            </w:tcBorders>
          </w:tcPr>
          <w:p w:rsidR="00406DFF" w:rsidRPr="00D50E91" w:rsidRDefault="00406DFF" w:rsidP="00C65880">
            <w:pPr>
              <w:autoSpaceDE w:val="0"/>
              <w:autoSpaceDN w:val="0"/>
              <w:adjustRightInd w:val="0"/>
              <w:ind w:left="56" w:right="56"/>
              <w:jc w:val="center"/>
              <w:rPr>
                <w:sz w:val="20"/>
                <w:szCs w:val="20"/>
              </w:rPr>
            </w:pPr>
            <w:r w:rsidRPr="00D50E91">
              <w:rPr>
                <w:sz w:val="20"/>
                <w:szCs w:val="20"/>
              </w:rPr>
              <w:t xml:space="preserve"> 200</w:t>
            </w:r>
          </w:p>
        </w:tc>
        <w:tc>
          <w:tcPr>
            <w:tcW w:w="992" w:type="dxa"/>
            <w:tcBorders>
              <w:top w:val="single" w:sz="4" w:space="0" w:color="auto"/>
              <w:left w:val="single" w:sz="4" w:space="0" w:color="auto"/>
              <w:bottom w:val="single" w:sz="4" w:space="0" w:color="auto"/>
              <w:right w:val="single" w:sz="4" w:space="0" w:color="auto"/>
            </w:tcBorders>
          </w:tcPr>
          <w:p w:rsidR="00406DFF" w:rsidRPr="00D50E91" w:rsidRDefault="00406DFF" w:rsidP="00C65880">
            <w:pPr>
              <w:autoSpaceDE w:val="0"/>
              <w:autoSpaceDN w:val="0"/>
              <w:adjustRightInd w:val="0"/>
              <w:ind w:left="56" w:right="56"/>
              <w:jc w:val="center"/>
              <w:rPr>
                <w:sz w:val="20"/>
                <w:szCs w:val="20"/>
              </w:rPr>
            </w:pPr>
            <w:r w:rsidRPr="00D50E91">
              <w:rPr>
                <w:sz w:val="20"/>
                <w:szCs w:val="20"/>
              </w:rPr>
              <w:t xml:space="preserve"> 150</w:t>
            </w:r>
          </w:p>
        </w:tc>
        <w:tc>
          <w:tcPr>
            <w:tcW w:w="1056" w:type="dxa"/>
            <w:tcBorders>
              <w:top w:val="single" w:sz="4" w:space="0" w:color="auto"/>
              <w:left w:val="single" w:sz="4" w:space="0" w:color="auto"/>
              <w:bottom w:val="single" w:sz="4" w:space="0" w:color="auto"/>
              <w:right w:val="single" w:sz="4" w:space="0" w:color="auto"/>
            </w:tcBorders>
          </w:tcPr>
          <w:p w:rsidR="00406DFF" w:rsidRPr="00D50E91" w:rsidRDefault="00406DFF" w:rsidP="00C65880">
            <w:pPr>
              <w:autoSpaceDE w:val="0"/>
              <w:autoSpaceDN w:val="0"/>
              <w:adjustRightInd w:val="0"/>
              <w:ind w:left="56" w:right="56"/>
              <w:jc w:val="center"/>
              <w:rPr>
                <w:sz w:val="20"/>
                <w:szCs w:val="20"/>
              </w:rPr>
            </w:pPr>
            <w:r w:rsidRPr="00D50E91">
              <w:rPr>
                <w:sz w:val="20"/>
                <w:szCs w:val="20"/>
              </w:rPr>
              <w:t xml:space="preserve"> 100</w:t>
            </w:r>
          </w:p>
        </w:tc>
        <w:tc>
          <w:tcPr>
            <w:tcW w:w="929" w:type="dxa"/>
            <w:tcBorders>
              <w:top w:val="single" w:sz="4" w:space="0" w:color="auto"/>
              <w:left w:val="single" w:sz="4" w:space="0" w:color="auto"/>
              <w:bottom w:val="single" w:sz="4" w:space="0" w:color="auto"/>
              <w:right w:val="single" w:sz="4" w:space="0" w:color="auto"/>
            </w:tcBorders>
          </w:tcPr>
          <w:p w:rsidR="00406DFF" w:rsidRPr="00D50E91" w:rsidRDefault="00406DFF" w:rsidP="00C65880">
            <w:pPr>
              <w:autoSpaceDE w:val="0"/>
              <w:autoSpaceDN w:val="0"/>
              <w:adjustRightInd w:val="0"/>
              <w:ind w:left="56" w:right="56"/>
              <w:jc w:val="center"/>
              <w:rPr>
                <w:sz w:val="20"/>
                <w:szCs w:val="20"/>
              </w:rPr>
            </w:pPr>
            <w:r w:rsidRPr="00D50E91">
              <w:rPr>
                <w:sz w:val="20"/>
                <w:szCs w:val="20"/>
              </w:rPr>
              <w:t xml:space="preserve"> 300</w:t>
            </w:r>
          </w:p>
        </w:tc>
        <w:tc>
          <w:tcPr>
            <w:tcW w:w="992" w:type="dxa"/>
            <w:tcBorders>
              <w:top w:val="single" w:sz="4" w:space="0" w:color="auto"/>
              <w:left w:val="single" w:sz="4" w:space="0" w:color="auto"/>
              <w:bottom w:val="single" w:sz="4" w:space="0" w:color="auto"/>
              <w:right w:val="single" w:sz="4" w:space="0" w:color="auto"/>
            </w:tcBorders>
          </w:tcPr>
          <w:p w:rsidR="00406DFF" w:rsidRPr="00D50E91" w:rsidRDefault="00406DFF" w:rsidP="00C65880">
            <w:pPr>
              <w:autoSpaceDE w:val="0"/>
              <w:autoSpaceDN w:val="0"/>
              <w:adjustRightInd w:val="0"/>
              <w:ind w:left="56" w:right="56"/>
              <w:jc w:val="center"/>
              <w:rPr>
                <w:sz w:val="20"/>
                <w:szCs w:val="20"/>
              </w:rPr>
            </w:pPr>
            <w:r w:rsidRPr="00D50E91">
              <w:rPr>
                <w:sz w:val="20"/>
                <w:szCs w:val="20"/>
              </w:rPr>
              <w:t xml:space="preserve"> 200</w:t>
            </w:r>
          </w:p>
        </w:tc>
        <w:tc>
          <w:tcPr>
            <w:tcW w:w="996" w:type="dxa"/>
            <w:tcBorders>
              <w:top w:val="single" w:sz="4" w:space="0" w:color="auto"/>
              <w:left w:val="single" w:sz="4" w:space="0" w:color="auto"/>
              <w:bottom w:val="single" w:sz="4" w:space="0" w:color="auto"/>
              <w:right w:val="single" w:sz="4" w:space="0" w:color="auto"/>
            </w:tcBorders>
          </w:tcPr>
          <w:p w:rsidR="00406DFF" w:rsidRPr="00D50E91" w:rsidRDefault="00406DFF" w:rsidP="00C65880">
            <w:pPr>
              <w:autoSpaceDE w:val="0"/>
              <w:autoSpaceDN w:val="0"/>
              <w:adjustRightInd w:val="0"/>
              <w:ind w:left="56" w:right="56"/>
              <w:jc w:val="center"/>
              <w:rPr>
                <w:sz w:val="20"/>
                <w:szCs w:val="20"/>
              </w:rPr>
            </w:pPr>
            <w:r w:rsidRPr="00D50E91">
              <w:rPr>
                <w:sz w:val="20"/>
                <w:szCs w:val="20"/>
              </w:rPr>
              <w:t xml:space="preserve"> 100</w:t>
            </w:r>
          </w:p>
        </w:tc>
        <w:tc>
          <w:tcPr>
            <w:tcW w:w="989" w:type="dxa"/>
            <w:tcBorders>
              <w:top w:val="single" w:sz="4" w:space="0" w:color="auto"/>
              <w:left w:val="single" w:sz="4" w:space="0" w:color="auto"/>
              <w:bottom w:val="single" w:sz="4" w:space="0" w:color="auto"/>
              <w:right w:val="single" w:sz="4" w:space="0" w:color="auto"/>
            </w:tcBorders>
          </w:tcPr>
          <w:p w:rsidR="00406DFF" w:rsidRPr="00D50E91" w:rsidRDefault="00406DFF" w:rsidP="00C65880">
            <w:pPr>
              <w:autoSpaceDE w:val="0"/>
              <w:autoSpaceDN w:val="0"/>
              <w:adjustRightInd w:val="0"/>
              <w:ind w:left="56" w:right="56"/>
              <w:jc w:val="center"/>
              <w:rPr>
                <w:sz w:val="20"/>
                <w:szCs w:val="20"/>
              </w:rPr>
            </w:pPr>
            <w:r w:rsidRPr="00D50E91">
              <w:rPr>
                <w:sz w:val="20"/>
                <w:szCs w:val="20"/>
              </w:rPr>
              <w:t xml:space="preserve"> 500</w:t>
            </w:r>
          </w:p>
        </w:tc>
        <w:tc>
          <w:tcPr>
            <w:tcW w:w="992" w:type="dxa"/>
            <w:tcBorders>
              <w:top w:val="single" w:sz="4" w:space="0" w:color="auto"/>
              <w:left w:val="single" w:sz="4" w:space="0" w:color="auto"/>
              <w:bottom w:val="single" w:sz="4" w:space="0" w:color="auto"/>
              <w:right w:val="single" w:sz="4" w:space="0" w:color="auto"/>
            </w:tcBorders>
          </w:tcPr>
          <w:p w:rsidR="00406DFF" w:rsidRPr="00D50E91" w:rsidRDefault="00406DFF" w:rsidP="00C65880">
            <w:pPr>
              <w:autoSpaceDE w:val="0"/>
              <w:autoSpaceDN w:val="0"/>
              <w:adjustRightInd w:val="0"/>
              <w:ind w:left="56" w:right="56"/>
              <w:jc w:val="center"/>
              <w:rPr>
                <w:sz w:val="20"/>
                <w:szCs w:val="20"/>
              </w:rPr>
            </w:pPr>
            <w:r w:rsidRPr="00D50E91">
              <w:rPr>
                <w:sz w:val="20"/>
                <w:szCs w:val="20"/>
              </w:rPr>
              <w:t xml:space="preserve"> 250</w:t>
            </w:r>
          </w:p>
        </w:tc>
        <w:tc>
          <w:tcPr>
            <w:tcW w:w="992" w:type="dxa"/>
            <w:tcBorders>
              <w:top w:val="single" w:sz="4" w:space="0" w:color="auto"/>
              <w:left w:val="single" w:sz="4" w:space="0" w:color="auto"/>
              <w:bottom w:val="single" w:sz="4" w:space="0" w:color="auto"/>
              <w:right w:val="single" w:sz="4" w:space="0" w:color="auto"/>
            </w:tcBorders>
          </w:tcPr>
          <w:p w:rsidR="00406DFF" w:rsidRPr="00D50E91" w:rsidRDefault="00406DFF" w:rsidP="00C65880">
            <w:pPr>
              <w:autoSpaceDE w:val="0"/>
              <w:autoSpaceDN w:val="0"/>
              <w:adjustRightInd w:val="0"/>
              <w:ind w:left="56" w:right="56"/>
              <w:jc w:val="center"/>
              <w:rPr>
                <w:sz w:val="20"/>
                <w:szCs w:val="20"/>
              </w:rPr>
            </w:pPr>
            <w:r w:rsidRPr="00D50E91">
              <w:rPr>
                <w:sz w:val="20"/>
                <w:szCs w:val="20"/>
              </w:rPr>
              <w:t xml:space="preserve"> 100</w:t>
            </w:r>
          </w:p>
        </w:tc>
      </w:tr>
      <w:tr w:rsidR="000F76B5" w:rsidRPr="00D50E91" w:rsidTr="008C3E46">
        <w:tc>
          <w:tcPr>
            <w:tcW w:w="13163" w:type="dxa"/>
            <w:gridSpan w:val="11"/>
            <w:tcBorders>
              <w:top w:val="single" w:sz="4" w:space="0" w:color="auto"/>
              <w:left w:val="nil"/>
              <w:bottom w:val="nil"/>
              <w:right w:val="nil"/>
            </w:tcBorders>
          </w:tcPr>
          <w:p w:rsidR="000F76B5" w:rsidRPr="00D50E91" w:rsidRDefault="000F76B5" w:rsidP="00C65880">
            <w:pPr>
              <w:autoSpaceDE w:val="0"/>
              <w:autoSpaceDN w:val="0"/>
              <w:adjustRightInd w:val="0"/>
              <w:ind w:left="56" w:right="56"/>
              <w:rPr>
                <w:i/>
                <w:iCs/>
                <w:sz w:val="20"/>
                <w:szCs w:val="20"/>
              </w:rPr>
            </w:pPr>
            <w:r w:rsidRPr="00D50E91">
              <w:rPr>
                <w:sz w:val="20"/>
                <w:szCs w:val="20"/>
              </w:rPr>
              <w:t xml:space="preserve"> </w:t>
            </w:r>
            <w:r w:rsidRPr="00D50E91">
              <w:rPr>
                <w:i/>
                <w:iCs/>
                <w:sz w:val="20"/>
                <w:szCs w:val="20"/>
                <w:vertAlign w:val="superscript"/>
              </w:rPr>
              <w:t>1)</w:t>
            </w:r>
            <w:r w:rsidRPr="00D50E91">
              <w:rPr>
                <w:i/>
                <w:iCs/>
                <w:sz w:val="20"/>
                <w:szCs w:val="20"/>
              </w:rPr>
              <w:t xml:space="preserve"> Vegyes tárolás esetén a veszélyesebb tűzveszélyességi fokozatú folyadékhoz tartozó követelményt kell figyelembe venni.</w:t>
            </w:r>
          </w:p>
        </w:tc>
      </w:tr>
    </w:tbl>
    <w:p w:rsidR="005B415B" w:rsidRPr="00D50E91" w:rsidRDefault="005B415B" w:rsidP="00595B18">
      <w:pPr>
        <w:jc w:val="both"/>
      </w:pPr>
    </w:p>
    <w:p w:rsidR="005B415B" w:rsidRPr="00D50E91" w:rsidRDefault="005B415B" w:rsidP="00595B18">
      <w:pPr>
        <w:jc w:val="both"/>
      </w:pPr>
    </w:p>
    <w:p w:rsidR="005B415B" w:rsidRPr="00D50E91" w:rsidRDefault="005B415B" w:rsidP="00595B18">
      <w:pPr>
        <w:jc w:val="both"/>
        <w:rPr>
          <w:b/>
          <w:sz w:val="20"/>
          <w:szCs w:val="20"/>
        </w:rPr>
      </w:pPr>
      <w:r w:rsidRPr="00D50E91">
        <w:rPr>
          <w:b/>
          <w:sz w:val="20"/>
          <w:szCs w:val="20"/>
        </w:rPr>
        <w:t xml:space="preserve">2. táblázat, az Éghető folyadékok és olvadékok tárolására, kimérésére vonatkozó létesítési követelmények fejezethez  </w:t>
      </w:r>
    </w:p>
    <w:p w:rsidR="005B415B" w:rsidRPr="00D50E91" w:rsidRDefault="005B415B" w:rsidP="00595B18">
      <w:pPr>
        <w:jc w:val="both"/>
      </w:pPr>
    </w:p>
    <w:p w:rsidR="005B415B" w:rsidRPr="00D50E91" w:rsidRDefault="005B415B" w:rsidP="00AC2C5A">
      <w:pPr>
        <w:ind w:right="5104"/>
        <w:jc w:val="center"/>
        <w:rPr>
          <w:i/>
          <w:sz w:val="20"/>
          <w:szCs w:val="20"/>
        </w:rPr>
      </w:pPr>
      <w:r w:rsidRPr="00D50E91">
        <w:rPr>
          <w:i/>
          <w:sz w:val="20"/>
          <w:szCs w:val="20"/>
        </w:rPr>
        <w:t>Védőtávolságok (m)</w:t>
      </w:r>
    </w:p>
    <w:tbl>
      <w:tblPr>
        <w:tblW w:w="0" w:type="auto"/>
        <w:tblInd w:w="5" w:type="dxa"/>
        <w:tblLayout w:type="fixed"/>
        <w:tblCellMar>
          <w:left w:w="0" w:type="dxa"/>
          <w:right w:w="0" w:type="dxa"/>
        </w:tblCellMar>
        <w:tblLook w:val="0000" w:firstRow="0" w:lastRow="0" w:firstColumn="0" w:lastColumn="0" w:noHBand="0" w:noVBand="0"/>
      </w:tblPr>
      <w:tblGrid>
        <w:gridCol w:w="560"/>
        <w:gridCol w:w="1982"/>
        <w:gridCol w:w="1418"/>
        <w:gridCol w:w="1418"/>
        <w:gridCol w:w="1418"/>
        <w:gridCol w:w="1418"/>
        <w:gridCol w:w="1420"/>
      </w:tblGrid>
      <w:tr w:rsidR="005B415B" w:rsidRPr="00D50E91" w:rsidTr="00C65880">
        <w:tc>
          <w:tcPr>
            <w:tcW w:w="56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rPr>
                <w:sz w:val="20"/>
                <w:szCs w:val="20"/>
              </w:rPr>
            </w:pPr>
          </w:p>
        </w:tc>
        <w:tc>
          <w:tcPr>
            <w:tcW w:w="198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A</w:t>
            </w:r>
          </w:p>
        </w:tc>
        <w:tc>
          <w:tcPr>
            <w:tcW w:w="1418"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B</w:t>
            </w:r>
          </w:p>
        </w:tc>
        <w:tc>
          <w:tcPr>
            <w:tcW w:w="1418"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C</w:t>
            </w:r>
          </w:p>
        </w:tc>
        <w:tc>
          <w:tcPr>
            <w:tcW w:w="1418"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D</w:t>
            </w:r>
          </w:p>
        </w:tc>
        <w:tc>
          <w:tcPr>
            <w:tcW w:w="1418"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E</w:t>
            </w:r>
          </w:p>
        </w:tc>
        <w:tc>
          <w:tcPr>
            <w:tcW w:w="1418"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F</w:t>
            </w:r>
          </w:p>
        </w:tc>
      </w:tr>
      <w:tr w:rsidR="005B415B" w:rsidRPr="00D50E91" w:rsidTr="00C65880">
        <w:tc>
          <w:tcPr>
            <w:tcW w:w="560" w:type="dxa"/>
            <w:tcBorders>
              <w:top w:val="single" w:sz="4" w:space="0" w:color="auto"/>
              <w:left w:val="single" w:sz="4" w:space="0" w:color="auto"/>
              <w:bottom w:val="nil"/>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w:t>
            </w:r>
          </w:p>
        </w:tc>
        <w:tc>
          <w:tcPr>
            <w:tcW w:w="198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b/>
                <w:sz w:val="20"/>
                <w:szCs w:val="20"/>
              </w:rPr>
            </w:pPr>
            <w:r w:rsidRPr="00D50E91">
              <w:rPr>
                <w:b/>
                <w:sz w:val="20"/>
                <w:szCs w:val="20"/>
              </w:rPr>
              <w:t xml:space="preserve"> Megnevezés</w:t>
            </w:r>
          </w:p>
        </w:tc>
        <w:tc>
          <w:tcPr>
            <w:tcW w:w="1418"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b/>
                <w:sz w:val="20"/>
                <w:szCs w:val="20"/>
              </w:rPr>
            </w:pPr>
            <w:r w:rsidRPr="00D50E91">
              <w:rPr>
                <w:b/>
                <w:sz w:val="20"/>
                <w:szCs w:val="20"/>
              </w:rPr>
              <w:t xml:space="preserve"> Kútoszlop </w:t>
            </w:r>
            <w:r w:rsidR="003528A8">
              <w:rPr>
                <w:b/>
                <w:sz w:val="20"/>
                <w:szCs w:val="20"/>
              </w:rPr>
              <w:t>-</w:t>
            </w:r>
            <w:r w:rsidRPr="00D50E91">
              <w:rPr>
                <w:b/>
                <w:sz w:val="20"/>
                <w:szCs w:val="20"/>
              </w:rPr>
              <w:t xml:space="preserve"> gázolaj esetén és benzinnél pisztolygőz elvezetéssel</w:t>
            </w:r>
          </w:p>
        </w:tc>
        <w:tc>
          <w:tcPr>
            <w:tcW w:w="1418"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b/>
                <w:sz w:val="20"/>
                <w:szCs w:val="20"/>
              </w:rPr>
            </w:pPr>
            <w:r w:rsidRPr="00D50E91">
              <w:rPr>
                <w:b/>
                <w:sz w:val="20"/>
                <w:szCs w:val="20"/>
              </w:rPr>
              <w:t xml:space="preserve"> Dómakna, töltőhely, konténerkút </w:t>
            </w:r>
            <w:r w:rsidR="003528A8">
              <w:rPr>
                <w:b/>
                <w:sz w:val="20"/>
                <w:szCs w:val="20"/>
              </w:rPr>
              <w:t>-</w:t>
            </w:r>
            <w:r w:rsidRPr="00D50E91">
              <w:rPr>
                <w:b/>
                <w:sz w:val="20"/>
                <w:szCs w:val="20"/>
              </w:rPr>
              <w:t xml:space="preserve"> gázolaj esetén és benzinnél gázingával</w:t>
            </w:r>
          </w:p>
        </w:tc>
        <w:tc>
          <w:tcPr>
            <w:tcW w:w="1418"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b/>
                <w:sz w:val="20"/>
                <w:szCs w:val="20"/>
              </w:rPr>
            </w:pPr>
            <w:r w:rsidRPr="00D50E91">
              <w:rPr>
                <w:b/>
                <w:sz w:val="20"/>
                <w:szCs w:val="20"/>
              </w:rPr>
              <w:t xml:space="preserve"> Föld feletti tartály dómja gázolaj esetén és benzinnél gázingával</w:t>
            </w:r>
          </w:p>
        </w:tc>
        <w:tc>
          <w:tcPr>
            <w:tcW w:w="1418"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b/>
                <w:sz w:val="20"/>
                <w:szCs w:val="20"/>
              </w:rPr>
            </w:pPr>
            <w:r w:rsidRPr="00D50E91">
              <w:rPr>
                <w:b/>
                <w:sz w:val="20"/>
                <w:szCs w:val="20"/>
              </w:rPr>
              <w:t xml:space="preserve"> Kezelő</w:t>
            </w:r>
            <w:r w:rsidR="003528A8">
              <w:rPr>
                <w:b/>
                <w:sz w:val="20"/>
                <w:szCs w:val="20"/>
              </w:rPr>
              <w:t>-</w:t>
            </w:r>
            <w:r w:rsidRPr="00D50E91">
              <w:rPr>
                <w:b/>
                <w:sz w:val="20"/>
                <w:szCs w:val="20"/>
              </w:rPr>
              <w:t>, mosóépület, kültéri szervizberen</w:t>
            </w:r>
            <w:r w:rsidR="003528A8">
              <w:rPr>
                <w:b/>
                <w:sz w:val="20"/>
                <w:szCs w:val="20"/>
              </w:rPr>
              <w:t>-</w:t>
            </w:r>
            <w:r w:rsidRPr="00D50E91">
              <w:rPr>
                <w:b/>
                <w:sz w:val="20"/>
                <w:szCs w:val="20"/>
              </w:rPr>
              <w:br/>
              <w:t>dezések, üzlet</w:t>
            </w:r>
          </w:p>
        </w:tc>
        <w:tc>
          <w:tcPr>
            <w:tcW w:w="1418"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b/>
                <w:sz w:val="20"/>
                <w:szCs w:val="20"/>
              </w:rPr>
            </w:pPr>
            <w:r w:rsidRPr="00D50E91">
              <w:rPr>
                <w:b/>
                <w:sz w:val="20"/>
                <w:szCs w:val="20"/>
              </w:rPr>
              <w:t xml:space="preserve"> Pébégáz</w:t>
            </w:r>
            <w:r w:rsidR="003528A8">
              <w:rPr>
                <w:b/>
                <w:sz w:val="20"/>
                <w:szCs w:val="20"/>
              </w:rPr>
              <w:t>-</w:t>
            </w:r>
            <w:r w:rsidRPr="00D50E91">
              <w:rPr>
                <w:b/>
                <w:sz w:val="20"/>
                <w:szCs w:val="20"/>
              </w:rPr>
              <w:br/>
              <w:t>cseretelep</w:t>
            </w:r>
            <w:r w:rsidRPr="00D50E91">
              <w:rPr>
                <w:b/>
                <w:sz w:val="20"/>
                <w:szCs w:val="20"/>
                <w:vertAlign w:val="superscript"/>
              </w:rPr>
              <w:t>2)</w:t>
            </w:r>
          </w:p>
        </w:tc>
      </w:tr>
      <w:tr w:rsidR="005B415B" w:rsidRPr="00D50E91" w:rsidTr="00C65880">
        <w:tc>
          <w:tcPr>
            <w:tcW w:w="560" w:type="dxa"/>
            <w:tcBorders>
              <w:top w:val="nil"/>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2</w:t>
            </w:r>
          </w:p>
        </w:tc>
        <w:tc>
          <w:tcPr>
            <w:tcW w:w="198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rPr>
                <w:sz w:val="20"/>
                <w:szCs w:val="20"/>
              </w:rPr>
            </w:pPr>
            <w:r w:rsidRPr="00D50E91">
              <w:rPr>
                <w:sz w:val="20"/>
                <w:szCs w:val="20"/>
              </w:rPr>
              <w:t xml:space="preserve"> KK és MK osztályú épületek</w:t>
            </w:r>
          </w:p>
        </w:tc>
        <w:tc>
          <w:tcPr>
            <w:tcW w:w="1418"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10</w:t>
            </w:r>
          </w:p>
        </w:tc>
        <w:tc>
          <w:tcPr>
            <w:tcW w:w="1418"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10</w:t>
            </w:r>
          </w:p>
        </w:tc>
        <w:tc>
          <w:tcPr>
            <w:tcW w:w="1418"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25</w:t>
            </w:r>
          </w:p>
        </w:tc>
        <w:tc>
          <w:tcPr>
            <w:tcW w:w="1418"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10</w:t>
            </w:r>
          </w:p>
        </w:tc>
        <w:tc>
          <w:tcPr>
            <w:tcW w:w="1418"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10</w:t>
            </w:r>
          </w:p>
        </w:tc>
      </w:tr>
      <w:tr w:rsidR="005B415B" w:rsidRPr="00D50E91" w:rsidTr="00C65880">
        <w:tc>
          <w:tcPr>
            <w:tcW w:w="56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3</w:t>
            </w:r>
          </w:p>
        </w:tc>
        <w:tc>
          <w:tcPr>
            <w:tcW w:w="198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rPr>
                <w:sz w:val="20"/>
                <w:szCs w:val="20"/>
              </w:rPr>
            </w:pPr>
            <w:r w:rsidRPr="00D50E91">
              <w:rPr>
                <w:sz w:val="20"/>
                <w:szCs w:val="20"/>
              </w:rPr>
              <w:t xml:space="preserve"> NAK, AK osztályú épületek</w:t>
            </w:r>
          </w:p>
        </w:tc>
        <w:tc>
          <w:tcPr>
            <w:tcW w:w="1418"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5</w:t>
            </w:r>
          </w:p>
        </w:tc>
        <w:tc>
          <w:tcPr>
            <w:tcW w:w="1418"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5</w:t>
            </w:r>
          </w:p>
        </w:tc>
        <w:tc>
          <w:tcPr>
            <w:tcW w:w="1418"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10</w:t>
            </w:r>
          </w:p>
        </w:tc>
        <w:tc>
          <w:tcPr>
            <w:tcW w:w="1418"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6</w:t>
            </w:r>
          </w:p>
        </w:tc>
        <w:tc>
          <w:tcPr>
            <w:tcW w:w="1418"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10</w:t>
            </w:r>
          </w:p>
        </w:tc>
      </w:tr>
      <w:tr w:rsidR="005B415B" w:rsidRPr="00D50E91" w:rsidTr="00C65880">
        <w:tc>
          <w:tcPr>
            <w:tcW w:w="56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5</w:t>
            </w:r>
          </w:p>
        </w:tc>
        <w:tc>
          <w:tcPr>
            <w:tcW w:w="198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rPr>
                <w:sz w:val="20"/>
                <w:szCs w:val="20"/>
              </w:rPr>
            </w:pPr>
            <w:r w:rsidRPr="00D50E91">
              <w:rPr>
                <w:sz w:val="20"/>
                <w:szCs w:val="20"/>
              </w:rPr>
              <w:t xml:space="preserve"> Vonat közlekedésére használt vasúti vágány</w:t>
            </w:r>
          </w:p>
        </w:tc>
        <w:tc>
          <w:tcPr>
            <w:tcW w:w="1418"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20</w:t>
            </w:r>
          </w:p>
        </w:tc>
        <w:tc>
          <w:tcPr>
            <w:tcW w:w="1418"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20</w:t>
            </w:r>
          </w:p>
        </w:tc>
        <w:tc>
          <w:tcPr>
            <w:tcW w:w="1418"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20</w:t>
            </w:r>
          </w:p>
        </w:tc>
        <w:tc>
          <w:tcPr>
            <w:tcW w:w="1418"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15</w:t>
            </w:r>
          </w:p>
        </w:tc>
        <w:tc>
          <w:tcPr>
            <w:tcW w:w="1418"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20</w:t>
            </w:r>
          </w:p>
        </w:tc>
      </w:tr>
      <w:tr w:rsidR="005B415B" w:rsidRPr="00D50E91" w:rsidTr="00C65880">
        <w:tc>
          <w:tcPr>
            <w:tcW w:w="56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lastRenderedPageBreak/>
              <w:t xml:space="preserve"> 6</w:t>
            </w:r>
          </w:p>
        </w:tc>
        <w:tc>
          <w:tcPr>
            <w:tcW w:w="198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rPr>
                <w:sz w:val="20"/>
                <w:szCs w:val="20"/>
              </w:rPr>
            </w:pPr>
            <w:r w:rsidRPr="00D50E91">
              <w:rPr>
                <w:sz w:val="20"/>
                <w:szCs w:val="20"/>
              </w:rPr>
              <w:t xml:space="preserve"> Vontató, ipari</w:t>
            </w:r>
            <w:r w:rsidR="003528A8">
              <w:rPr>
                <w:sz w:val="20"/>
                <w:szCs w:val="20"/>
              </w:rPr>
              <w:t>-</w:t>
            </w:r>
            <w:r w:rsidRPr="00D50E91">
              <w:rPr>
                <w:sz w:val="20"/>
                <w:szCs w:val="20"/>
              </w:rPr>
              <w:t xml:space="preserve"> és közforgalmú rakodóvágány, villamos vágány</w:t>
            </w:r>
          </w:p>
        </w:tc>
        <w:tc>
          <w:tcPr>
            <w:tcW w:w="1418"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6</w:t>
            </w:r>
            <w:r w:rsidRPr="00D50E91">
              <w:rPr>
                <w:sz w:val="20"/>
                <w:szCs w:val="20"/>
                <w:vertAlign w:val="superscript"/>
              </w:rPr>
              <w:t>1)</w:t>
            </w:r>
          </w:p>
        </w:tc>
        <w:tc>
          <w:tcPr>
            <w:tcW w:w="1418"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5</w:t>
            </w:r>
          </w:p>
        </w:tc>
        <w:tc>
          <w:tcPr>
            <w:tcW w:w="1418"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10</w:t>
            </w:r>
          </w:p>
        </w:tc>
        <w:tc>
          <w:tcPr>
            <w:tcW w:w="1418"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6</w:t>
            </w:r>
          </w:p>
        </w:tc>
        <w:tc>
          <w:tcPr>
            <w:tcW w:w="1418"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10</w:t>
            </w:r>
          </w:p>
        </w:tc>
      </w:tr>
      <w:tr w:rsidR="005B415B" w:rsidRPr="00D50E91" w:rsidTr="00C65880">
        <w:tc>
          <w:tcPr>
            <w:tcW w:w="56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7</w:t>
            </w:r>
          </w:p>
        </w:tc>
        <w:tc>
          <w:tcPr>
            <w:tcW w:w="198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rPr>
                <w:sz w:val="20"/>
                <w:szCs w:val="20"/>
              </w:rPr>
            </w:pPr>
            <w:r w:rsidRPr="00D50E91">
              <w:rPr>
                <w:sz w:val="20"/>
                <w:szCs w:val="20"/>
              </w:rPr>
              <w:t xml:space="preserve"> Föld alatti, nem a töltőállomáshoz tartozó közművezeték</w:t>
            </w:r>
          </w:p>
        </w:tc>
        <w:tc>
          <w:tcPr>
            <w:tcW w:w="7090" w:type="dxa"/>
            <w:gridSpan w:val="5"/>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Vonatkozó műszaki követelmény szerint</w:t>
            </w:r>
          </w:p>
        </w:tc>
      </w:tr>
      <w:tr w:rsidR="005B415B" w:rsidRPr="00D50E91" w:rsidTr="00C65880">
        <w:tc>
          <w:tcPr>
            <w:tcW w:w="56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8</w:t>
            </w:r>
          </w:p>
        </w:tc>
        <w:tc>
          <w:tcPr>
            <w:tcW w:w="198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rPr>
                <w:sz w:val="20"/>
                <w:szCs w:val="20"/>
              </w:rPr>
            </w:pPr>
            <w:r w:rsidRPr="00D50E91">
              <w:rPr>
                <w:sz w:val="20"/>
                <w:szCs w:val="20"/>
              </w:rPr>
              <w:t xml:space="preserve"> Gáz, kőolaj vagy terméktávvezeték</w:t>
            </w:r>
          </w:p>
        </w:tc>
        <w:tc>
          <w:tcPr>
            <w:tcW w:w="7090" w:type="dxa"/>
            <w:gridSpan w:val="5"/>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Vonatkozó műszaki követelmény szerint</w:t>
            </w:r>
          </w:p>
        </w:tc>
      </w:tr>
      <w:tr w:rsidR="005B415B" w:rsidRPr="00D50E91" w:rsidTr="00C65880">
        <w:tc>
          <w:tcPr>
            <w:tcW w:w="9634" w:type="dxa"/>
            <w:gridSpan w:val="7"/>
            <w:tcBorders>
              <w:top w:val="single" w:sz="4" w:space="0" w:color="auto"/>
              <w:left w:val="nil"/>
              <w:bottom w:val="nil"/>
              <w:right w:val="nil"/>
            </w:tcBorders>
          </w:tcPr>
          <w:p w:rsidR="005B415B" w:rsidRPr="00D50E91" w:rsidRDefault="005B415B" w:rsidP="00C65880">
            <w:pPr>
              <w:autoSpaceDE w:val="0"/>
              <w:autoSpaceDN w:val="0"/>
              <w:adjustRightInd w:val="0"/>
              <w:ind w:left="56" w:right="56"/>
              <w:rPr>
                <w:i/>
                <w:iCs/>
                <w:sz w:val="20"/>
                <w:szCs w:val="20"/>
              </w:rPr>
            </w:pPr>
            <w:r w:rsidRPr="00D50E91">
              <w:rPr>
                <w:sz w:val="20"/>
                <w:szCs w:val="20"/>
              </w:rPr>
              <w:t xml:space="preserve"> </w:t>
            </w:r>
            <w:r w:rsidRPr="00D50E91">
              <w:rPr>
                <w:i/>
                <w:iCs/>
                <w:sz w:val="20"/>
                <w:szCs w:val="20"/>
                <w:vertAlign w:val="superscript"/>
              </w:rPr>
              <w:t>1)</w:t>
            </w:r>
            <w:r w:rsidR="004729B1" w:rsidRPr="00D50E91">
              <w:rPr>
                <w:i/>
                <w:iCs/>
                <w:sz w:val="20"/>
                <w:szCs w:val="20"/>
                <w:vertAlign w:val="superscript"/>
              </w:rPr>
              <w:t xml:space="preserve"> </w:t>
            </w:r>
            <w:r w:rsidRPr="00D50E91">
              <w:rPr>
                <w:i/>
                <w:iCs/>
                <w:sz w:val="20"/>
                <w:szCs w:val="20"/>
              </w:rPr>
              <w:t>Vasúti gázolaj feladó kútoszlop esetén 3m.</w:t>
            </w:r>
          </w:p>
          <w:p w:rsidR="005B415B" w:rsidRPr="00D50E91" w:rsidRDefault="005B415B" w:rsidP="00C65880">
            <w:pPr>
              <w:autoSpaceDE w:val="0"/>
              <w:autoSpaceDN w:val="0"/>
              <w:adjustRightInd w:val="0"/>
              <w:ind w:left="56" w:right="56"/>
              <w:rPr>
                <w:i/>
                <w:iCs/>
                <w:sz w:val="20"/>
                <w:szCs w:val="20"/>
              </w:rPr>
            </w:pPr>
            <w:r w:rsidRPr="00D50E91">
              <w:rPr>
                <w:i/>
                <w:iCs/>
                <w:sz w:val="20"/>
                <w:szCs w:val="20"/>
                <w:vertAlign w:val="superscript"/>
              </w:rPr>
              <w:t>2)</w:t>
            </w:r>
            <w:r w:rsidRPr="00D50E91">
              <w:rPr>
                <w:i/>
                <w:iCs/>
                <w:sz w:val="20"/>
                <w:szCs w:val="20"/>
              </w:rPr>
              <w:t xml:space="preserve"> „1a” kategóriájú pébégázcseretelep esetén a védőtávolság a táblázatban feltüntetett érték felére csökken.</w:t>
            </w:r>
          </w:p>
        </w:tc>
      </w:tr>
    </w:tbl>
    <w:p w:rsidR="005B415B" w:rsidRPr="00D50E91" w:rsidRDefault="005B415B" w:rsidP="00595B18">
      <w:pPr>
        <w:jc w:val="both"/>
      </w:pPr>
    </w:p>
    <w:p w:rsidR="005B415B" w:rsidRPr="00D50E91" w:rsidRDefault="005B415B" w:rsidP="00595B18">
      <w:pPr>
        <w:jc w:val="both"/>
      </w:pPr>
    </w:p>
    <w:p w:rsidR="005B415B" w:rsidRPr="00D50E91" w:rsidRDefault="005B415B" w:rsidP="00282674">
      <w:pPr>
        <w:jc w:val="both"/>
        <w:rPr>
          <w:b/>
          <w:sz w:val="20"/>
          <w:szCs w:val="20"/>
        </w:rPr>
      </w:pPr>
      <w:r w:rsidRPr="00D50E91">
        <w:rPr>
          <w:b/>
          <w:sz w:val="20"/>
          <w:szCs w:val="20"/>
        </w:rPr>
        <w:t>3. táblázat, az Éghető folyadékok és olvadékok tárolására, kimérésére vonatkozó létesítési követelmények fejezethez</w:t>
      </w:r>
    </w:p>
    <w:p w:rsidR="005B415B" w:rsidRPr="00D50E91" w:rsidRDefault="005B415B" w:rsidP="00595B18">
      <w:pPr>
        <w:jc w:val="both"/>
      </w:pPr>
    </w:p>
    <w:p w:rsidR="005B415B" w:rsidRPr="00D50E91" w:rsidRDefault="005B415B" w:rsidP="00282674">
      <w:pPr>
        <w:jc w:val="center"/>
        <w:rPr>
          <w:i/>
          <w:sz w:val="20"/>
          <w:szCs w:val="20"/>
        </w:rPr>
      </w:pPr>
      <w:r w:rsidRPr="00D50E91">
        <w:rPr>
          <w:i/>
          <w:sz w:val="20"/>
          <w:szCs w:val="20"/>
        </w:rPr>
        <w:t>Elhelyezési távolságok (m)</w:t>
      </w:r>
    </w:p>
    <w:tbl>
      <w:tblPr>
        <w:tblW w:w="0" w:type="auto"/>
        <w:tblInd w:w="5" w:type="dxa"/>
        <w:tblLayout w:type="fixed"/>
        <w:tblCellMar>
          <w:left w:w="0" w:type="dxa"/>
          <w:right w:w="0" w:type="dxa"/>
        </w:tblCellMar>
        <w:tblLook w:val="0000" w:firstRow="0" w:lastRow="0" w:firstColumn="0" w:lastColumn="0" w:noHBand="0" w:noVBand="0"/>
      </w:tblPr>
      <w:tblGrid>
        <w:gridCol w:w="562"/>
        <w:gridCol w:w="3681"/>
        <w:gridCol w:w="1134"/>
        <w:gridCol w:w="1134"/>
        <w:gridCol w:w="1276"/>
        <w:gridCol w:w="1134"/>
        <w:gridCol w:w="992"/>
        <w:gridCol w:w="1276"/>
        <w:gridCol w:w="1134"/>
        <w:gridCol w:w="1143"/>
      </w:tblGrid>
      <w:tr w:rsidR="005B415B" w:rsidRPr="00D50E91" w:rsidTr="004729B1">
        <w:tc>
          <w:tcPr>
            <w:tcW w:w="56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rPr>
                <w:sz w:val="20"/>
                <w:szCs w:val="20"/>
              </w:rPr>
            </w:pPr>
          </w:p>
        </w:tc>
        <w:tc>
          <w:tcPr>
            <w:tcW w:w="3681"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A</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B</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C</w:t>
            </w:r>
          </w:p>
        </w:tc>
        <w:tc>
          <w:tcPr>
            <w:tcW w:w="1276"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D</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E</w:t>
            </w:r>
          </w:p>
        </w:tc>
        <w:tc>
          <w:tcPr>
            <w:tcW w:w="99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F</w:t>
            </w:r>
          </w:p>
        </w:tc>
        <w:tc>
          <w:tcPr>
            <w:tcW w:w="1276"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G</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H</w:t>
            </w:r>
          </w:p>
        </w:tc>
        <w:tc>
          <w:tcPr>
            <w:tcW w:w="1139"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I</w:t>
            </w:r>
          </w:p>
        </w:tc>
      </w:tr>
      <w:tr w:rsidR="005B415B" w:rsidRPr="00D50E91" w:rsidTr="004729B1">
        <w:tc>
          <w:tcPr>
            <w:tcW w:w="562" w:type="dxa"/>
            <w:tcBorders>
              <w:top w:val="single" w:sz="4" w:space="0" w:color="auto"/>
              <w:left w:val="single" w:sz="4" w:space="0" w:color="auto"/>
              <w:bottom w:val="nil"/>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w:t>
            </w:r>
          </w:p>
        </w:tc>
        <w:tc>
          <w:tcPr>
            <w:tcW w:w="3681"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b/>
                <w:sz w:val="20"/>
                <w:szCs w:val="20"/>
              </w:rPr>
            </w:pPr>
            <w:r w:rsidRPr="00D50E91">
              <w:rPr>
                <w:b/>
                <w:sz w:val="20"/>
                <w:szCs w:val="20"/>
              </w:rPr>
              <w:t xml:space="preserve"> Megnevezés</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b/>
                <w:sz w:val="20"/>
                <w:szCs w:val="20"/>
              </w:rPr>
            </w:pPr>
            <w:r w:rsidRPr="00D50E91">
              <w:rPr>
                <w:b/>
                <w:sz w:val="20"/>
                <w:szCs w:val="20"/>
              </w:rPr>
              <w:t xml:space="preserve"> Kútoszlop</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b/>
                <w:sz w:val="20"/>
                <w:szCs w:val="20"/>
              </w:rPr>
            </w:pPr>
            <w:r w:rsidRPr="00D50E91">
              <w:rPr>
                <w:b/>
                <w:sz w:val="20"/>
                <w:szCs w:val="20"/>
              </w:rPr>
              <w:t xml:space="preserve"> Dómakna</w:t>
            </w:r>
          </w:p>
        </w:tc>
        <w:tc>
          <w:tcPr>
            <w:tcW w:w="1276"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b/>
                <w:sz w:val="20"/>
                <w:szCs w:val="20"/>
              </w:rPr>
            </w:pPr>
            <w:r w:rsidRPr="00D50E91">
              <w:rPr>
                <w:b/>
                <w:sz w:val="20"/>
                <w:szCs w:val="20"/>
              </w:rPr>
              <w:t xml:space="preserve"> Kenőanyag</w:t>
            </w:r>
            <w:r w:rsidR="003528A8">
              <w:rPr>
                <w:b/>
                <w:sz w:val="20"/>
                <w:szCs w:val="20"/>
              </w:rPr>
              <w:t>-</w:t>
            </w:r>
            <w:r w:rsidRPr="00D50E91">
              <w:rPr>
                <w:b/>
                <w:sz w:val="20"/>
                <w:szCs w:val="20"/>
              </w:rPr>
              <w:t xml:space="preserve"> tároló</w:t>
            </w:r>
            <w:r w:rsidR="003528A8">
              <w:rPr>
                <w:b/>
                <w:sz w:val="20"/>
                <w:szCs w:val="20"/>
              </w:rPr>
              <w:t>-</w:t>
            </w:r>
            <w:r w:rsidRPr="00D50E91">
              <w:rPr>
                <w:b/>
                <w:sz w:val="20"/>
                <w:szCs w:val="20"/>
              </w:rPr>
              <w:t xml:space="preserve"> és kirakat</w:t>
            </w:r>
            <w:r w:rsidR="003528A8">
              <w:rPr>
                <w:b/>
                <w:sz w:val="20"/>
                <w:szCs w:val="20"/>
              </w:rPr>
              <w:t>-</w:t>
            </w:r>
            <w:r w:rsidRPr="00D50E91">
              <w:rPr>
                <w:b/>
                <w:sz w:val="20"/>
                <w:szCs w:val="20"/>
              </w:rPr>
              <w:br/>
              <w:t>szekrény</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b/>
                <w:sz w:val="20"/>
                <w:szCs w:val="20"/>
              </w:rPr>
            </w:pPr>
            <w:r w:rsidRPr="00D50E91">
              <w:rPr>
                <w:b/>
                <w:sz w:val="20"/>
                <w:szCs w:val="20"/>
              </w:rPr>
              <w:t xml:space="preserve"> Föld feletti tartály</w:t>
            </w:r>
          </w:p>
        </w:tc>
        <w:tc>
          <w:tcPr>
            <w:tcW w:w="99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b/>
                <w:sz w:val="20"/>
                <w:szCs w:val="20"/>
              </w:rPr>
            </w:pPr>
            <w:r w:rsidRPr="00D50E91">
              <w:rPr>
                <w:b/>
                <w:sz w:val="20"/>
                <w:szCs w:val="20"/>
              </w:rPr>
              <w:t xml:space="preserve"> Éghető anyagot tároló konténer</w:t>
            </w:r>
          </w:p>
        </w:tc>
        <w:tc>
          <w:tcPr>
            <w:tcW w:w="1276"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b/>
                <w:sz w:val="20"/>
                <w:szCs w:val="20"/>
              </w:rPr>
            </w:pPr>
            <w:r w:rsidRPr="00D50E91">
              <w:rPr>
                <w:b/>
                <w:sz w:val="20"/>
                <w:szCs w:val="20"/>
              </w:rPr>
              <w:t xml:space="preserve"> Konténerkút</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b/>
                <w:sz w:val="20"/>
                <w:szCs w:val="20"/>
              </w:rPr>
            </w:pPr>
            <w:r w:rsidRPr="00D50E91">
              <w:rPr>
                <w:b/>
                <w:sz w:val="20"/>
                <w:szCs w:val="20"/>
              </w:rPr>
              <w:t xml:space="preserve"> Fáradtolaj</w:t>
            </w:r>
            <w:r w:rsidR="003528A8">
              <w:rPr>
                <w:b/>
                <w:sz w:val="20"/>
                <w:szCs w:val="20"/>
              </w:rPr>
              <w:t>-</w:t>
            </w:r>
            <w:r w:rsidRPr="00D50E91">
              <w:rPr>
                <w:b/>
                <w:sz w:val="20"/>
                <w:szCs w:val="20"/>
              </w:rPr>
              <w:br/>
              <w:t>gyűjtő edényzet</w:t>
            </w:r>
          </w:p>
        </w:tc>
        <w:tc>
          <w:tcPr>
            <w:tcW w:w="1139"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b/>
                <w:sz w:val="20"/>
                <w:szCs w:val="20"/>
              </w:rPr>
            </w:pPr>
            <w:r w:rsidRPr="00D50E91">
              <w:rPr>
                <w:b/>
                <w:sz w:val="20"/>
                <w:szCs w:val="20"/>
              </w:rPr>
              <w:t xml:space="preserve"> Pébégáz</w:t>
            </w:r>
            <w:r w:rsidR="003528A8">
              <w:rPr>
                <w:b/>
                <w:sz w:val="20"/>
                <w:szCs w:val="20"/>
              </w:rPr>
              <w:t>-</w:t>
            </w:r>
            <w:r w:rsidRPr="00D50E91">
              <w:rPr>
                <w:b/>
                <w:sz w:val="20"/>
                <w:szCs w:val="20"/>
              </w:rPr>
              <w:br/>
              <w:t>cseretelep</w:t>
            </w:r>
            <w:r w:rsidRPr="00D50E91">
              <w:rPr>
                <w:b/>
                <w:sz w:val="20"/>
                <w:szCs w:val="20"/>
                <w:vertAlign w:val="superscript"/>
              </w:rPr>
              <w:t>2)</w:t>
            </w:r>
          </w:p>
        </w:tc>
      </w:tr>
      <w:tr w:rsidR="005B415B" w:rsidRPr="00D50E91" w:rsidTr="004729B1">
        <w:tc>
          <w:tcPr>
            <w:tcW w:w="562" w:type="dxa"/>
            <w:tcBorders>
              <w:top w:val="nil"/>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2</w:t>
            </w:r>
          </w:p>
        </w:tc>
        <w:tc>
          <w:tcPr>
            <w:tcW w:w="3681"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rPr>
                <w:sz w:val="20"/>
                <w:szCs w:val="20"/>
              </w:rPr>
            </w:pPr>
            <w:r w:rsidRPr="00D50E91">
              <w:rPr>
                <w:sz w:val="20"/>
                <w:szCs w:val="20"/>
              </w:rPr>
              <w:t xml:space="preserve"> Kezelőépület, üzlet, gépkocsimosó épület nyílászáró szerkezete (nyitható ajtó, ablak)</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2</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2</w:t>
            </w:r>
          </w:p>
        </w:tc>
        <w:tc>
          <w:tcPr>
            <w:tcW w:w="1276"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w:t>
            </w:r>
            <w:r w:rsidR="003528A8">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8</w:t>
            </w:r>
          </w:p>
        </w:tc>
        <w:tc>
          <w:tcPr>
            <w:tcW w:w="99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w:t>
            </w:r>
            <w:r w:rsidR="003528A8">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8</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2</w:t>
            </w:r>
            <w:r w:rsidRPr="00D50E91">
              <w:rPr>
                <w:sz w:val="20"/>
                <w:szCs w:val="20"/>
                <w:vertAlign w:val="superscript"/>
              </w:rPr>
              <w:t>1)</w:t>
            </w:r>
          </w:p>
        </w:tc>
        <w:tc>
          <w:tcPr>
            <w:tcW w:w="1139"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5</w:t>
            </w:r>
          </w:p>
        </w:tc>
      </w:tr>
      <w:tr w:rsidR="005B415B" w:rsidRPr="00D50E91" w:rsidTr="004729B1">
        <w:tc>
          <w:tcPr>
            <w:tcW w:w="56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3</w:t>
            </w:r>
          </w:p>
        </w:tc>
        <w:tc>
          <w:tcPr>
            <w:tcW w:w="3681"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rPr>
                <w:sz w:val="20"/>
                <w:szCs w:val="20"/>
              </w:rPr>
            </w:pPr>
            <w:r w:rsidRPr="00D50E91">
              <w:rPr>
                <w:sz w:val="20"/>
                <w:szCs w:val="20"/>
              </w:rPr>
              <w:t xml:space="preserve"> Kültéri szervizberendezések</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2</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2</w:t>
            </w:r>
          </w:p>
        </w:tc>
        <w:tc>
          <w:tcPr>
            <w:tcW w:w="1276"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w:t>
            </w:r>
            <w:r w:rsidR="003528A8">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8</w:t>
            </w:r>
          </w:p>
        </w:tc>
        <w:tc>
          <w:tcPr>
            <w:tcW w:w="99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3</w:t>
            </w:r>
          </w:p>
        </w:tc>
        <w:tc>
          <w:tcPr>
            <w:tcW w:w="1276"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8</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w:t>
            </w:r>
            <w:r w:rsidR="003528A8">
              <w:rPr>
                <w:sz w:val="20"/>
                <w:szCs w:val="20"/>
              </w:rPr>
              <w:t>-</w:t>
            </w:r>
          </w:p>
        </w:tc>
        <w:tc>
          <w:tcPr>
            <w:tcW w:w="1139"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5</w:t>
            </w:r>
          </w:p>
        </w:tc>
      </w:tr>
      <w:tr w:rsidR="005B415B" w:rsidRPr="00D50E91" w:rsidTr="004729B1">
        <w:tc>
          <w:tcPr>
            <w:tcW w:w="56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4</w:t>
            </w:r>
          </w:p>
        </w:tc>
        <w:tc>
          <w:tcPr>
            <w:tcW w:w="3681"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rPr>
                <w:sz w:val="20"/>
                <w:szCs w:val="20"/>
              </w:rPr>
            </w:pPr>
            <w:r w:rsidRPr="00D50E91">
              <w:rPr>
                <w:sz w:val="20"/>
                <w:szCs w:val="20"/>
              </w:rPr>
              <w:t xml:space="preserve"> Kútoszlop</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w:t>
            </w:r>
            <w:r w:rsidR="003528A8">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Hatáskörzeten kívül</w:t>
            </w:r>
          </w:p>
        </w:tc>
        <w:tc>
          <w:tcPr>
            <w:tcW w:w="1276"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w:t>
            </w:r>
            <w:r w:rsidR="003528A8">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2</w:t>
            </w:r>
          </w:p>
        </w:tc>
        <w:tc>
          <w:tcPr>
            <w:tcW w:w="99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5</w:t>
            </w:r>
          </w:p>
        </w:tc>
        <w:tc>
          <w:tcPr>
            <w:tcW w:w="1276"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w:t>
            </w:r>
            <w:r w:rsidR="003528A8">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5</w:t>
            </w:r>
          </w:p>
        </w:tc>
        <w:tc>
          <w:tcPr>
            <w:tcW w:w="1139"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10</w:t>
            </w:r>
          </w:p>
        </w:tc>
      </w:tr>
      <w:tr w:rsidR="005B415B" w:rsidRPr="00D50E91" w:rsidTr="004729B1">
        <w:tc>
          <w:tcPr>
            <w:tcW w:w="56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5</w:t>
            </w:r>
          </w:p>
        </w:tc>
        <w:tc>
          <w:tcPr>
            <w:tcW w:w="3681"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rPr>
                <w:sz w:val="20"/>
                <w:szCs w:val="20"/>
              </w:rPr>
            </w:pPr>
            <w:r w:rsidRPr="00D50E91">
              <w:rPr>
                <w:sz w:val="20"/>
                <w:szCs w:val="20"/>
              </w:rPr>
              <w:t xml:space="preserve"> Föld feletti tartály</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2</w:t>
            </w:r>
          </w:p>
        </w:tc>
        <w:tc>
          <w:tcPr>
            <w:tcW w:w="1134" w:type="dxa"/>
            <w:tcBorders>
              <w:top w:val="single" w:sz="4" w:space="0" w:color="auto"/>
              <w:left w:val="single" w:sz="4" w:space="0" w:color="auto"/>
              <w:bottom w:val="nil"/>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w:t>
            </w:r>
            <w:r w:rsidR="003528A8">
              <w:rPr>
                <w:sz w:val="20"/>
                <w:szCs w:val="20"/>
              </w:rPr>
              <w:t>-</w:t>
            </w:r>
          </w:p>
        </w:tc>
        <w:tc>
          <w:tcPr>
            <w:tcW w:w="1276" w:type="dxa"/>
            <w:tcBorders>
              <w:top w:val="single" w:sz="4" w:space="0" w:color="auto"/>
              <w:left w:val="single" w:sz="4" w:space="0" w:color="auto"/>
              <w:bottom w:val="nil"/>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5</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0,5</w:t>
            </w:r>
          </w:p>
        </w:tc>
        <w:tc>
          <w:tcPr>
            <w:tcW w:w="992" w:type="dxa"/>
            <w:tcBorders>
              <w:top w:val="single" w:sz="4" w:space="0" w:color="auto"/>
              <w:left w:val="single" w:sz="4" w:space="0" w:color="auto"/>
              <w:bottom w:val="nil"/>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5</w:t>
            </w:r>
          </w:p>
        </w:tc>
        <w:tc>
          <w:tcPr>
            <w:tcW w:w="1276"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w:t>
            </w:r>
          </w:p>
        </w:tc>
        <w:tc>
          <w:tcPr>
            <w:tcW w:w="1134" w:type="dxa"/>
            <w:tcBorders>
              <w:top w:val="single" w:sz="4" w:space="0" w:color="auto"/>
              <w:left w:val="single" w:sz="4" w:space="0" w:color="auto"/>
              <w:bottom w:val="nil"/>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5</w:t>
            </w:r>
          </w:p>
        </w:tc>
        <w:tc>
          <w:tcPr>
            <w:tcW w:w="1139" w:type="dxa"/>
            <w:tcBorders>
              <w:top w:val="single" w:sz="4" w:space="0" w:color="auto"/>
              <w:left w:val="single" w:sz="4" w:space="0" w:color="auto"/>
              <w:bottom w:val="nil"/>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10</w:t>
            </w:r>
          </w:p>
        </w:tc>
      </w:tr>
      <w:tr w:rsidR="005B415B" w:rsidRPr="00D50E91" w:rsidTr="004729B1">
        <w:tc>
          <w:tcPr>
            <w:tcW w:w="56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6</w:t>
            </w:r>
          </w:p>
        </w:tc>
        <w:tc>
          <w:tcPr>
            <w:tcW w:w="3681"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rPr>
                <w:sz w:val="20"/>
                <w:szCs w:val="20"/>
              </w:rPr>
            </w:pPr>
            <w:r w:rsidRPr="00D50E91">
              <w:rPr>
                <w:sz w:val="20"/>
                <w:szCs w:val="20"/>
              </w:rPr>
              <w:t xml:space="preserve"> Konténerkút</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w:t>
            </w:r>
            <w:r w:rsidR="003528A8">
              <w:rPr>
                <w:sz w:val="20"/>
                <w:szCs w:val="20"/>
              </w:rPr>
              <w:t>-</w:t>
            </w:r>
          </w:p>
        </w:tc>
        <w:tc>
          <w:tcPr>
            <w:tcW w:w="1134" w:type="dxa"/>
            <w:tcBorders>
              <w:top w:val="nil"/>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rPr>
                <w:sz w:val="20"/>
                <w:szCs w:val="20"/>
              </w:rPr>
            </w:pPr>
            <w:r w:rsidRPr="00D50E91">
              <w:rPr>
                <w:sz w:val="20"/>
                <w:szCs w:val="20"/>
              </w:rPr>
              <w:t xml:space="preserve"> </w:t>
            </w:r>
          </w:p>
        </w:tc>
        <w:tc>
          <w:tcPr>
            <w:tcW w:w="1276" w:type="dxa"/>
            <w:tcBorders>
              <w:top w:val="nil"/>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rPr>
                <w:sz w:val="20"/>
                <w:szCs w:val="20"/>
              </w:rPr>
            </w:pPr>
            <w:r w:rsidRPr="00D50E91">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w:t>
            </w:r>
          </w:p>
        </w:tc>
        <w:tc>
          <w:tcPr>
            <w:tcW w:w="992" w:type="dxa"/>
            <w:tcBorders>
              <w:top w:val="nil"/>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rPr>
                <w:sz w:val="20"/>
                <w:szCs w:val="20"/>
              </w:rPr>
            </w:pPr>
            <w:r w:rsidRPr="00D50E91">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w:t>
            </w:r>
          </w:p>
        </w:tc>
        <w:tc>
          <w:tcPr>
            <w:tcW w:w="1134" w:type="dxa"/>
            <w:tcBorders>
              <w:top w:val="nil"/>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rPr>
                <w:sz w:val="20"/>
                <w:szCs w:val="20"/>
              </w:rPr>
            </w:pPr>
            <w:r w:rsidRPr="00D50E91">
              <w:rPr>
                <w:sz w:val="20"/>
                <w:szCs w:val="20"/>
              </w:rPr>
              <w:t xml:space="preserve"> </w:t>
            </w:r>
          </w:p>
        </w:tc>
        <w:tc>
          <w:tcPr>
            <w:tcW w:w="1139" w:type="dxa"/>
            <w:tcBorders>
              <w:top w:val="nil"/>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rPr>
                <w:sz w:val="20"/>
                <w:szCs w:val="20"/>
              </w:rPr>
            </w:pPr>
            <w:r w:rsidRPr="00D50E91">
              <w:rPr>
                <w:sz w:val="20"/>
                <w:szCs w:val="20"/>
              </w:rPr>
              <w:t xml:space="preserve"> </w:t>
            </w:r>
          </w:p>
        </w:tc>
      </w:tr>
      <w:tr w:rsidR="005B415B" w:rsidRPr="00D50E91" w:rsidTr="004729B1">
        <w:tc>
          <w:tcPr>
            <w:tcW w:w="56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7</w:t>
            </w:r>
          </w:p>
        </w:tc>
        <w:tc>
          <w:tcPr>
            <w:tcW w:w="3681"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rPr>
                <w:sz w:val="20"/>
                <w:szCs w:val="20"/>
              </w:rPr>
            </w:pPr>
            <w:r w:rsidRPr="00D50E91">
              <w:rPr>
                <w:sz w:val="20"/>
                <w:szCs w:val="20"/>
              </w:rPr>
              <w:t xml:space="preserve"> Fáradtolaj</w:t>
            </w:r>
            <w:r w:rsidR="003528A8">
              <w:rPr>
                <w:sz w:val="20"/>
                <w:szCs w:val="20"/>
              </w:rPr>
              <w:t>-</w:t>
            </w:r>
            <w:r w:rsidRPr="00D50E91">
              <w:rPr>
                <w:sz w:val="20"/>
                <w:szCs w:val="20"/>
              </w:rPr>
              <w:t>gyűjtő edényzet</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5</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w:t>
            </w:r>
            <w:r w:rsidR="003528A8">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3</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5</w:t>
            </w:r>
          </w:p>
        </w:tc>
        <w:tc>
          <w:tcPr>
            <w:tcW w:w="99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3</w:t>
            </w:r>
          </w:p>
        </w:tc>
        <w:tc>
          <w:tcPr>
            <w:tcW w:w="1276"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5</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w:t>
            </w:r>
            <w:r w:rsidR="003528A8">
              <w:rPr>
                <w:sz w:val="20"/>
                <w:szCs w:val="20"/>
              </w:rPr>
              <w:t>-</w:t>
            </w:r>
          </w:p>
        </w:tc>
        <w:tc>
          <w:tcPr>
            <w:tcW w:w="1139"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5</w:t>
            </w:r>
          </w:p>
        </w:tc>
      </w:tr>
      <w:tr w:rsidR="005B415B" w:rsidRPr="00D50E91" w:rsidTr="004729B1">
        <w:tc>
          <w:tcPr>
            <w:tcW w:w="56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8</w:t>
            </w:r>
          </w:p>
        </w:tc>
        <w:tc>
          <w:tcPr>
            <w:tcW w:w="3681"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rPr>
                <w:sz w:val="20"/>
                <w:szCs w:val="20"/>
              </w:rPr>
            </w:pPr>
            <w:r w:rsidRPr="00D50E91">
              <w:rPr>
                <w:sz w:val="20"/>
                <w:szCs w:val="20"/>
              </w:rPr>
              <w:t xml:space="preserve"> Pébégáz</w:t>
            </w:r>
            <w:r w:rsidR="003528A8">
              <w:rPr>
                <w:sz w:val="20"/>
                <w:szCs w:val="20"/>
              </w:rPr>
              <w:t>-</w:t>
            </w:r>
            <w:r w:rsidRPr="00D50E91">
              <w:rPr>
                <w:sz w:val="20"/>
                <w:szCs w:val="20"/>
              </w:rPr>
              <w:t>cseretelep</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10</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10</w:t>
            </w:r>
          </w:p>
        </w:tc>
        <w:tc>
          <w:tcPr>
            <w:tcW w:w="1276"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5</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10</w:t>
            </w:r>
          </w:p>
        </w:tc>
        <w:tc>
          <w:tcPr>
            <w:tcW w:w="99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5</w:t>
            </w:r>
          </w:p>
        </w:tc>
        <w:tc>
          <w:tcPr>
            <w:tcW w:w="1276"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10</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5</w:t>
            </w:r>
          </w:p>
        </w:tc>
        <w:tc>
          <w:tcPr>
            <w:tcW w:w="1139"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w:t>
            </w:r>
            <w:r w:rsidR="003528A8">
              <w:rPr>
                <w:sz w:val="20"/>
                <w:szCs w:val="20"/>
              </w:rPr>
              <w:t>-</w:t>
            </w:r>
          </w:p>
        </w:tc>
      </w:tr>
      <w:tr w:rsidR="005B415B" w:rsidRPr="00D50E91" w:rsidTr="004729B1">
        <w:tc>
          <w:tcPr>
            <w:tcW w:w="56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9</w:t>
            </w:r>
          </w:p>
        </w:tc>
        <w:tc>
          <w:tcPr>
            <w:tcW w:w="3681"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rPr>
                <w:sz w:val="20"/>
                <w:szCs w:val="20"/>
              </w:rPr>
            </w:pPr>
            <w:r w:rsidRPr="00D50E91">
              <w:rPr>
                <w:sz w:val="20"/>
                <w:szCs w:val="20"/>
              </w:rPr>
              <w:t xml:space="preserve"> LPG (autógáz) vagy CNG (sűrített földgáz) gáztartály</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10</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10</w:t>
            </w:r>
          </w:p>
        </w:tc>
        <w:tc>
          <w:tcPr>
            <w:tcW w:w="1276"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5</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10</w:t>
            </w:r>
          </w:p>
        </w:tc>
        <w:tc>
          <w:tcPr>
            <w:tcW w:w="99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5</w:t>
            </w:r>
          </w:p>
        </w:tc>
        <w:tc>
          <w:tcPr>
            <w:tcW w:w="1276"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10</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5</w:t>
            </w:r>
          </w:p>
        </w:tc>
        <w:tc>
          <w:tcPr>
            <w:tcW w:w="1139"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10</w:t>
            </w:r>
          </w:p>
        </w:tc>
      </w:tr>
      <w:tr w:rsidR="005B415B" w:rsidRPr="00D50E91" w:rsidTr="004729B1">
        <w:tc>
          <w:tcPr>
            <w:tcW w:w="13466" w:type="dxa"/>
            <w:gridSpan w:val="10"/>
            <w:tcBorders>
              <w:top w:val="single" w:sz="4" w:space="0" w:color="auto"/>
              <w:left w:val="nil"/>
              <w:bottom w:val="nil"/>
              <w:right w:val="nil"/>
            </w:tcBorders>
          </w:tcPr>
          <w:p w:rsidR="005B415B" w:rsidRPr="00D50E91" w:rsidRDefault="004729B1" w:rsidP="004729B1">
            <w:pPr>
              <w:autoSpaceDE w:val="0"/>
              <w:autoSpaceDN w:val="0"/>
              <w:adjustRightInd w:val="0"/>
              <w:ind w:right="56"/>
              <w:rPr>
                <w:i/>
                <w:iCs/>
                <w:sz w:val="20"/>
                <w:szCs w:val="20"/>
              </w:rPr>
            </w:pPr>
            <w:r w:rsidRPr="00D50E91">
              <w:rPr>
                <w:i/>
                <w:iCs/>
                <w:sz w:val="20"/>
                <w:szCs w:val="20"/>
              </w:rPr>
              <w:t xml:space="preserve"> </w:t>
            </w:r>
            <w:r w:rsidRPr="00D50E91">
              <w:rPr>
                <w:i/>
                <w:iCs/>
                <w:sz w:val="20"/>
                <w:szCs w:val="20"/>
                <w:vertAlign w:val="superscript"/>
              </w:rPr>
              <w:t>1)</w:t>
            </w:r>
            <w:r w:rsidRPr="00D50E91">
              <w:rPr>
                <w:i/>
                <w:iCs/>
                <w:sz w:val="20"/>
                <w:szCs w:val="20"/>
              </w:rPr>
              <w:t xml:space="preserve"> </w:t>
            </w:r>
            <w:r w:rsidR="005B415B" w:rsidRPr="00D50E91">
              <w:rPr>
                <w:i/>
                <w:iCs/>
                <w:sz w:val="20"/>
                <w:szCs w:val="20"/>
              </w:rPr>
              <w:t>Szervizépület esetén a fáradtolajgyűjtő edényzet az épületen belül elhelyezhető.</w:t>
            </w:r>
          </w:p>
          <w:p w:rsidR="005B415B" w:rsidRPr="00D50E91" w:rsidRDefault="005B415B" w:rsidP="00C65880">
            <w:pPr>
              <w:autoSpaceDE w:val="0"/>
              <w:autoSpaceDN w:val="0"/>
              <w:adjustRightInd w:val="0"/>
              <w:ind w:right="56"/>
              <w:rPr>
                <w:i/>
                <w:iCs/>
                <w:sz w:val="20"/>
                <w:szCs w:val="20"/>
              </w:rPr>
            </w:pPr>
            <w:r w:rsidRPr="00D50E91">
              <w:rPr>
                <w:i/>
                <w:iCs/>
                <w:sz w:val="20"/>
                <w:szCs w:val="20"/>
              </w:rPr>
              <w:t xml:space="preserve"> </w:t>
            </w:r>
            <w:r w:rsidRPr="00D50E91">
              <w:rPr>
                <w:i/>
                <w:iCs/>
                <w:sz w:val="20"/>
                <w:szCs w:val="20"/>
                <w:vertAlign w:val="superscript"/>
              </w:rPr>
              <w:t>2)</w:t>
            </w:r>
            <w:r w:rsidRPr="00D50E91">
              <w:rPr>
                <w:i/>
                <w:iCs/>
                <w:sz w:val="20"/>
                <w:szCs w:val="20"/>
              </w:rPr>
              <w:t xml:space="preserve"> „1a” kategóriájú pébégázcseretelep esetén az elhelyezési távolság a táblázatban feltüntetett érték felére csökken.</w:t>
            </w:r>
          </w:p>
        </w:tc>
      </w:tr>
    </w:tbl>
    <w:p w:rsidR="005B415B" w:rsidRPr="00D50E91" w:rsidRDefault="005B415B" w:rsidP="00595B18">
      <w:pPr>
        <w:jc w:val="both"/>
      </w:pPr>
    </w:p>
    <w:p w:rsidR="005B415B" w:rsidRPr="00D50E91" w:rsidRDefault="005B415B">
      <w:pPr>
        <w:spacing w:after="200" w:line="276" w:lineRule="auto"/>
      </w:pPr>
      <w:r w:rsidRPr="00D50E91">
        <w:br w:type="page"/>
      </w:r>
    </w:p>
    <w:p w:rsidR="005B415B" w:rsidRPr="00D50E91" w:rsidRDefault="005B415B" w:rsidP="00282674">
      <w:pPr>
        <w:pStyle w:val="Kpalrs"/>
      </w:pPr>
      <w:r w:rsidRPr="00D50E91">
        <w:lastRenderedPageBreak/>
        <w:t xml:space="preserve">4. táblázat, az Éghető folyadékok és olvadékok tárolására, kimérésére vonatkozó létesítési követelmények fejezethez  </w:t>
      </w:r>
    </w:p>
    <w:p w:rsidR="005B415B" w:rsidRPr="00D50E91" w:rsidRDefault="005B415B" w:rsidP="00595B18">
      <w:pPr>
        <w:jc w:val="both"/>
      </w:pPr>
    </w:p>
    <w:p w:rsidR="005B415B" w:rsidRPr="00D50E91" w:rsidRDefault="005B415B" w:rsidP="00275D45">
      <w:pPr>
        <w:ind w:right="5104"/>
        <w:jc w:val="center"/>
        <w:rPr>
          <w:i/>
          <w:sz w:val="20"/>
          <w:szCs w:val="20"/>
        </w:rPr>
      </w:pPr>
      <w:r w:rsidRPr="00D50E91">
        <w:rPr>
          <w:i/>
          <w:sz w:val="20"/>
          <w:szCs w:val="20"/>
        </w:rPr>
        <w:t>Cseretelepek telepítési távolságai (m)</w:t>
      </w:r>
    </w:p>
    <w:tbl>
      <w:tblPr>
        <w:tblW w:w="0" w:type="auto"/>
        <w:tblInd w:w="5" w:type="dxa"/>
        <w:tblLayout w:type="fixed"/>
        <w:tblCellMar>
          <w:left w:w="0" w:type="dxa"/>
          <w:right w:w="0" w:type="dxa"/>
        </w:tblCellMar>
        <w:tblLook w:val="0000" w:firstRow="0" w:lastRow="0" w:firstColumn="0" w:lastColumn="0" w:noHBand="0" w:noVBand="0"/>
      </w:tblPr>
      <w:tblGrid>
        <w:gridCol w:w="562"/>
        <w:gridCol w:w="3402"/>
        <w:gridCol w:w="1134"/>
        <w:gridCol w:w="1134"/>
        <w:gridCol w:w="1134"/>
        <w:gridCol w:w="1134"/>
        <w:gridCol w:w="1134"/>
      </w:tblGrid>
      <w:tr w:rsidR="005B415B" w:rsidRPr="00D50E91" w:rsidTr="00C65880">
        <w:tc>
          <w:tcPr>
            <w:tcW w:w="56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rPr>
                <w:sz w:val="20"/>
                <w:szCs w:val="20"/>
              </w:rPr>
            </w:pPr>
          </w:p>
        </w:tc>
        <w:tc>
          <w:tcPr>
            <w:tcW w:w="340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A</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B</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C</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D</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E</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F</w:t>
            </w:r>
          </w:p>
        </w:tc>
      </w:tr>
      <w:tr w:rsidR="005B415B" w:rsidRPr="00D50E91" w:rsidTr="00C65880">
        <w:tc>
          <w:tcPr>
            <w:tcW w:w="56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w:t>
            </w:r>
          </w:p>
        </w:tc>
        <w:tc>
          <w:tcPr>
            <w:tcW w:w="340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b/>
                <w:sz w:val="20"/>
                <w:szCs w:val="20"/>
              </w:rPr>
            </w:pPr>
            <w:r w:rsidRPr="00D50E91">
              <w:rPr>
                <w:b/>
                <w:sz w:val="20"/>
                <w:szCs w:val="20"/>
              </w:rPr>
              <w:t xml:space="preserve"> Védett létesítmény</w:t>
            </w:r>
          </w:p>
        </w:tc>
        <w:tc>
          <w:tcPr>
            <w:tcW w:w="5670" w:type="dxa"/>
            <w:gridSpan w:val="5"/>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b/>
                <w:sz w:val="20"/>
                <w:szCs w:val="20"/>
              </w:rPr>
            </w:pPr>
            <w:r w:rsidRPr="00D50E91">
              <w:rPr>
                <w:b/>
                <w:sz w:val="20"/>
                <w:szCs w:val="20"/>
              </w:rPr>
              <w:t xml:space="preserve"> Megengedett legkisebb távolság a csereteleptől méterben, a cseretelep kategóriája szerint</w:t>
            </w:r>
          </w:p>
        </w:tc>
      </w:tr>
      <w:tr w:rsidR="005B415B" w:rsidRPr="00D50E91" w:rsidTr="00C65880">
        <w:tc>
          <w:tcPr>
            <w:tcW w:w="56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2</w:t>
            </w:r>
          </w:p>
        </w:tc>
        <w:tc>
          <w:tcPr>
            <w:tcW w:w="340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rPr>
                <w:sz w:val="20"/>
                <w:szCs w:val="20"/>
              </w:rPr>
            </w:pPr>
            <w:r w:rsidRPr="00D50E91">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w:t>
            </w:r>
            <w:r w:rsidRPr="00D50E91">
              <w:rPr>
                <w:sz w:val="20"/>
                <w:szCs w:val="20"/>
                <w:vertAlign w:val="superscript"/>
              </w:rPr>
              <w:t>1)</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„2”</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„3”</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„4”</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„kategórián felüli”</w:t>
            </w:r>
          </w:p>
        </w:tc>
      </w:tr>
      <w:tr w:rsidR="005B415B" w:rsidRPr="00D50E91" w:rsidTr="00C65880">
        <w:tc>
          <w:tcPr>
            <w:tcW w:w="56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3</w:t>
            </w:r>
          </w:p>
        </w:tc>
        <w:tc>
          <w:tcPr>
            <w:tcW w:w="340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rPr>
                <w:sz w:val="20"/>
                <w:szCs w:val="20"/>
              </w:rPr>
            </w:pPr>
            <w:r w:rsidRPr="00D50E91">
              <w:rPr>
                <w:sz w:val="20"/>
                <w:szCs w:val="20"/>
              </w:rPr>
              <w:t xml:space="preserve"> MK és KK osztályú épület</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5</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10</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20</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30</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50</w:t>
            </w:r>
          </w:p>
        </w:tc>
      </w:tr>
      <w:tr w:rsidR="005B415B" w:rsidRPr="00D50E91" w:rsidTr="00C65880">
        <w:tc>
          <w:tcPr>
            <w:tcW w:w="56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4</w:t>
            </w:r>
          </w:p>
        </w:tc>
        <w:tc>
          <w:tcPr>
            <w:tcW w:w="340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rPr>
                <w:sz w:val="20"/>
                <w:szCs w:val="20"/>
              </w:rPr>
            </w:pPr>
            <w:r w:rsidRPr="00D50E91">
              <w:rPr>
                <w:sz w:val="20"/>
                <w:szCs w:val="20"/>
              </w:rPr>
              <w:t xml:space="preserve"> NAK és AK osztályú épület</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5</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5</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10</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10</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10</w:t>
            </w:r>
          </w:p>
        </w:tc>
      </w:tr>
      <w:tr w:rsidR="005B415B" w:rsidRPr="00D50E91" w:rsidTr="00C65880">
        <w:tc>
          <w:tcPr>
            <w:tcW w:w="56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5</w:t>
            </w:r>
          </w:p>
        </w:tc>
        <w:tc>
          <w:tcPr>
            <w:tcW w:w="340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rPr>
                <w:sz w:val="20"/>
                <w:szCs w:val="20"/>
              </w:rPr>
            </w:pPr>
            <w:r w:rsidRPr="00D50E91">
              <w:rPr>
                <w:sz w:val="20"/>
                <w:szCs w:val="20"/>
              </w:rPr>
              <w:t xml:space="preserve"> Vasúti forgalmi vágány</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20</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30</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50</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50</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50</w:t>
            </w:r>
          </w:p>
        </w:tc>
      </w:tr>
      <w:tr w:rsidR="005B415B" w:rsidRPr="00D50E91" w:rsidTr="00C65880">
        <w:tc>
          <w:tcPr>
            <w:tcW w:w="56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6</w:t>
            </w:r>
          </w:p>
        </w:tc>
        <w:tc>
          <w:tcPr>
            <w:tcW w:w="340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rPr>
                <w:sz w:val="20"/>
                <w:szCs w:val="20"/>
              </w:rPr>
            </w:pPr>
            <w:r w:rsidRPr="00D50E91">
              <w:rPr>
                <w:sz w:val="20"/>
                <w:szCs w:val="20"/>
              </w:rPr>
              <w:t xml:space="preserve"> Közlekedési út, járdára, kerékpárút</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5</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10</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15</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20</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30</w:t>
            </w:r>
          </w:p>
        </w:tc>
      </w:tr>
      <w:tr w:rsidR="005B415B" w:rsidRPr="00D50E91" w:rsidTr="00C65880">
        <w:tc>
          <w:tcPr>
            <w:tcW w:w="56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7</w:t>
            </w:r>
          </w:p>
        </w:tc>
        <w:tc>
          <w:tcPr>
            <w:tcW w:w="340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rPr>
                <w:sz w:val="20"/>
                <w:szCs w:val="20"/>
              </w:rPr>
            </w:pPr>
            <w:r w:rsidRPr="00D50E91">
              <w:rPr>
                <w:sz w:val="20"/>
                <w:szCs w:val="20"/>
              </w:rPr>
              <w:t xml:space="preserve"> Talajszintnél mélyebben fekvő építmény, műtárgy (pl. pince, kút, csatorna), illetve nyitott vízfolyás és árok</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5</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10</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10</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10</w:t>
            </w:r>
          </w:p>
        </w:tc>
        <w:tc>
          <w:tcPr>
            <w:tcW w:w="1134"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10</w:t>
            </w:r>
          </w:p>
        </w:tc>
      </w:tr>
      <w:tr w:rsidR="005B415B" w:rsidRPr="00D50E91" w:rsidTr="00C65880">
        <w:tc>
          <w:tcPr>
            <w:tcW w:w="56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8</w:t>
            </w:r>
          </w:p>
        </w:tc>
        <w:tc>
          <w:tcPr>
            <w:tcW w:w="340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rPr>
                <w:sz w:val="20"/>
                <w:szCs w:val="20"/>
              </w:rPr>
            </w:pPr>
            <w:r w:rsidRPr="00D50E91">
              <w:rPr>
                <w:sz w:val="20"/>
                <w:szCs w:val="20"/>
              </w:rPr>
              <w:t xml:space="preserve"> Erősáramú villamos szabadvezeték</w:t>
            </w:r>
          </w:p>
        </w:tc>
        <w:tc>
          <w:tcPr>
            <w:tcW w:w="5670" w:type="dxa"/>
            <w:gridSpan w:val="5"/>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külön jogszabály szerint</w:t>
            </w:r>
          </w:p>
        </w:tc>
      </w:tr>
    </w:tbl>
    <w:p w:rsidR="005B415B" w:rsidRPr="00D50E91" w:rsidRDefault="005B415B" w:rsidP="00E4342C">
      <w:pPr>
        <w:pStyle w:val="Kpalrs"/>
        <w:rPr>
          <w:b w:val="0"/>
        </w:rPr>
      </w:pPr>
      <w:r w:rsidRPr="00D50E91">
        <w:rPr>
          <w:b w:val="0"/>
          <w:i/>
          <w:iCs/>
          <w:vertAlign w:val="superscript"/>
        </w:rPr>
        <w:t>1)</w:t>
      </w:r>
      <w:r w:rsidRPr="00D50E91">
        <w:rPr>
          <w:b w:val="0"/>
          <w:i/>
          <w:iCs/>
        </w:rPr>
        <w:t xml:space="preserve"> „1a” kategóriájú pébégázcseretelep esetén a telepítési távolság a táblázatban feltüntetett érték felére csökken.</w:t>
      </w:r>
    </w:p>
    <w:p w:rsidR="005B415B" w:rsidRPr="00D50E91" w:rsidRDefault="005B415B" w:rsidP="003C5D7F">
      <w:pPr>
        <w:autoSpaceDE w:val="0"/>
        <w:autoSpaceDN w:val="0"/>
        <w:adjustRightInd w:val="0"/>
        <w:ind w:left="101" w:right="56"/>
        <w:rPr>
          <w:i/>
          <w:iCs/>
          <w:sz w:val="20"/>
          <w:szCs w:val="20"/>
        </w:rPr>
      </w:pPr>
    </w:p>
    <w:p w:rsidR="005B415B" w:rsidRPr="00D50E91" w:rsidRDefault="005B415B">
      <w:pPr>
        <w:spacing w:after="200" w:line="276" w:lineRule="auto"/>
      </w:pPr>
      <w:r w:rsidRPr="00D50E91">
        <w:br w:type="page"/>
      </w:r>
    </w:p>
    <w:p w:rsidR="005B415B" w:rsidRPr="00D50E91" w:rsidRDefault="005B415B" w:rsidP="00A57512">
      <w:pPr>
        <w:autoSpaceDE w:val="0"/>
        <w:autoSpaceDN w:val="0"/>
        <w:adjustRightInd w:val="0"/>
        <w:jc w:val="right"/>
        <w:rPr>
          <w:i/>
        </w:rPr>
      </w:pPr>
      <w:r w:rsidRPr="00D50E91">
        <w:rPr>
          <w:i/>
        </w:rPr>
        <w:lastRenderedPageBreak/>
        <w:t>11. melléklet a …./2018. (……) BM rendelethez</w:t>
      </w:r>
    </w:p>
    <w:p w:rsidR="005B415B" w:rsidRPr="00D50E91" w:rsidRDefault="005B415B" w:rsidP="00A57512">
      <w:pPr>
        <w:jc w:val="both"/>
      </w:pPr>
    </w:p>
    <w:p w:rsidR="005B415B" w:rsidRPr="00D50E91" w:rsidRDefault="005B415B" w:rsidP="00A57512">
      <w:pPr>
        <w:pStyle w:val="Szvegtrzs"/>
        <w:rPr>
          <w:i/>
        </w:rPr>
      </w:pPr>
      <w:r w:rsidRPr="00D50E91">
        <w:rPr>
          <w:i/>
        </w:rPr>
        <w:t>16. melléklet az 54/2014. (XII. 5.) BM rendelethez</w:t>
      </w:r>
    </w:p>
    <w:p w:rsidR="005B415B" w:rsidRPr="00D50E91" w:rsidRDefault="005B415B" w:rsidP="00A57512">
      <w:pPr>
        <w:jc w:val="both"/>
      </w:pPr>
    </w:p>
    <w:p w:rsidR="005B415B" w:rsidRPr="00D50E91" w:rsidRDefault="005B415B" w:rsidP="00A57512">
      <w:pPr>
        <w:jc w:val="both"/>
        <w:rPr>
          <w:b/>
          <w:sz w:val="20"/>
          <w:szCs w:val="20"/>
        </w:rPr>
      </w:pPr>
      <w:r w:rsidRPr="00D50E91">
        <w:rPr>
          <w:b/>
          <w:sz w:val="20"/>
          <w:szCs w:val="20"/>
        </w:rPr>
        <w:t>1. táblázat, a Beépített tűzjelző és beépített oltóberendezés, tűzoltó készülék, felszerelés alcímhez</w:t>
      </w:r>
    </w:p>
    <w:p w:rsidR="008F622E" w:rsidRPr="00D50E91" w:rsidRDefault="008F622E" w:rsidP="00595B18">
      <w:pPr>
        <w:jc w:val="both"/>
      </w:pPr>
    </w:p>
    <w:tbl>
      <w:tblPr>
        <w:tblW w:w="0" w:type="auto"/>
        <w:tblInd w:w="5" w:type="dxa"/>
        <w:tblLayout w:type="fixed"/>
        <w:tblCellMar>
          <w:left w:w="0" w:type="dxa"/>
          <w:right w:w="0" w:type="dxa"/>
        </w:tblCellMar>
        <w:tblLook w:val="0000" w:firstRow="0" w:lastRow="0" w:firstColumn="0" w:lastColumn="0" w:noHBand="0" w:noVBand="0"/>
      </w:tblPr>
      <w:tblGrid>
        <w:gridCol w:w="557"/>
        <w:gridCol w:w="2830"/>
        <w:gridCol w:w="1700"/>
        <w:gridCol w:w="1700"/>
        <w:gridCol w:w="3400"/>
      </w:tblGrid>
      <w:tr w:rsidR="008F622E" w:rsidRPr="00D50E91" w:rsidTr="001B1A17">
        <w:tc>
          <w:tcPr>
            <w:tcW w:w="557" w:type="dxa"/>
            <w:tcBorders>
              <w:top w:val="single" w:sz="4" w:space="0" w:color="auto"/>
              <w:left w:val="single" w:sz="4" w:space="0" w:color="auto"/>
              <w:bottom w:val="single" w:sz="4" w:space="0" w:color="auto"/>
              <w:right w:val="single" w:sz="4" w:space="0" w:color="auto"/>
            </w:tcBorders>
            <w:shd w:val="clear" w:color="auto" w:fill="auto"/>
          </w:tcPr>
          <w:p w:rsidR="008F622E" w:rsidRPr="00D50E91" w:rsidRDefault="008F622E" w:rsidP="008F622E">
            <w:pPr>
              <w:autoSpaceDE w:val="0"/>
              <w:autoSpaceDN w:val="0"/>
              <w:adjustRightInd w:val="0"/>
              <w:ind w:left="56" w:right="56"/>
              <w:jc w:val="center"/>
              <w:rPr>
                <w:sz w:val="20"/>
                <w:szCs w:val="20"/>
              </w:rPr>
            </w:pPr>
          </w:p>
        </w:tc>
        <w:tc>
          <w:tcPr>
            <w:tcW w:w="2830" w:type="dxa"/>
            <w:tcBorders>
              <w:top w:val="single" w:sz="4" w:space="0" w:color="auto"/>
              <w:left w:val="single" w:sz="4" w:space="0" w:color="auto"/>
              <w:bottom w:val="single" w:sz="4" w:space="0" w:color="auto"/>
              <w:right w:val="single" w:sz="4" w:space="0" w:color="auto"/>
            </w:tcBorders>
            <w:shd w:val="clear" w:color="auto" w:fill="auto"/>
          </w:tcPr>
          <w:p w:rsidR="008F622E" w:rsidRPr="00D50E91" w:rsidRDefault="008F622E" w:rsidP="004D4D45">
            <w:pPr>
              <w:autoSpaceDE w:val="0"/>
              <w:autoSpaceDN w:val="0"/>
              <w:adjustRightInd w:val="0"/>
              <w:ind w:left="56" w:right="56"/>
              <w:jc w:val="center"/>
              <w:rPr>
                <w:sz w:val="20"/>
                <w:szCs w:val="20"/>
              </w:rPr>
            </w:pPr>
            <w:r w:rsidRPr="00D50E91">
              <w:rPr>
                <w:sz w:val="20"/>
                <w:szCs w:val="20"/>
              </w:rPr>
              <w:t xml:space="preserve"> A</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8F622E" w:rsidRPr="00D50E91" w:rsidRDefault="008F622E" w:rsidP="008F622E">
            <w:pPr>
              <w:autoSpaceDE w:val="0"/>
              <w:autoSpaceDN w:val="0"/>
              <w:adjustRightInd w:val="0"/>
              <w:ind w:left="56" w:right="56"/>
              <w:jc w:val="center"/>
              <w:rPr>
                <w:sz w:val="20"/>
                <w:szCs w:val="20"/>
              </w:rPr>
            </w:pPr>
            <w:r w:rsidRPr="00D50E91">
              <w:rPr>
                <w:sz w:val="20"/>
                <w:szCs w:val="20"/>
              </w:rPr>
              <w:t xml:space="preserve"> B</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8F622E" w:rsidRPr="00D50E91" w:rsidRDefault="008F622E" w:rsidP="008F622E">
            <w:pPr>
              <w:autoSpaceDE w:val="0"/>
              <w:autoSpaceDN w:val="0"/>
              <w:adjustRightInd w:val="0"/>
              <w:ind w:left="56" w:right="56"/>
              <w:jc w:val="center"/>
              <w:rPr>
                <w:sz w:val="20"/>
                <w:szCs w:val="20"/>
              </w:rPr>
            </w:pPr>
            <w:r w:rsidRPr="00D50E91">
              <w:rPr>
                <w:sz w:val="20"/>
                <w:szCs w:val="20"/>
              </w:rPr>
              <w:t xml:space="preserve"> C</w:t>
            </w:r>
          </w:p>
        </w:tc>
        <w:tc>
          <w:tcPr>
            <w:tcW w:w="3400" w:type="dxa"/>
            <w:tcBorders>
              <w:top w:val="single" w:sz="4" w:space="0" w:color="auto"/>
              <w:left w:val="single" w:sz="4" w:space="0" w:color="auto"/>
              <w:bottom w:val="single" w:sz="4" w:space="0" w:color="auto"/>
              <w:right w:val="single" w:sz="4" w:space="0" w:color="auto"/>
            </w:tcBorders>
            <w:shd w:val="clear" w:color="auto" w:fill="auto"/>
          </w:tcPr>
          <w:p w:rsidR="008F622E" w:rsidRPr="00D50E91" w:rsidRDefault="008F622E" w:rsidP="008F622E">
            <w:pPr>
              <w:autoSpaceDE w:val="0"/>
              <w:autoSpaceDN w:val="0"/>
              <w:adjustRightInd w:val="0"/>
              <w:jc w:val="center"/>
              <w:rPr>
                <w:sz w:val="20"/>
                <w:szCs w:val="20"/>
              </w:rPr>
            </w:pPr>
            <w:r w:rsidRPr="00D50E91">
              <w:rPr>
                <w:sz w:val="20"/>
                <w:szCs w:val="20"/>
              </w:rPr>
              <w:t xml:space="preserve"> D</w:t>
            </w:r>
          </w:p>
        </w:tc>
      </w:tr>
      <w:tr w:rsidR="008F622E" w:rsidRPr="00D50E91" w:rsidTr="008F622E">
        <w:tc>
          <w:tcPr>
            <w:tcW w:w="557" w:type="dxa"/>
            <w:tcBorders>
              <w:top w:val="single" w:sz="4" w:space="0" w:color="auto"/>
              <w:left w:val="single" w:sz="4" w:space="0" w:color="auto"/>
              <w:bottom w:val="nil"/>
              <w:right w:val="single" w:sz="4" w:space="0" w:color="auto"/>
            </w:tcBorders>
          </w:tcPr>
          <w:p w:rsidR="008F622E" w:rsidRPr="00D50E91" w:rsidRDefault="008F622E" w:rsidP="008F622E">
            <w:pPr>
              <w:autoSpaceDE w:val="0"/>
              <w:autoSpaceDN w:val="0"/>
              <w:adjustRightInd w:val="0"/>
              <w:jc w:val="center"/>
              <w:rPr>
                <w:sz w:val="20"/>
                <w:szCs w:val="20"/>
              </w:rPr>
            </w:pPr>
            <w:r w:rsidRPr="00D50E91">
              <w:rPr>
                <w:sz w:val="20"/>
                <w:szCs w:val="20"/>
              </w:rPr>
              <w:t xml:space="preserve"> 1</w:t>
            </w:r>
          </w:p>
        </w:tc>
        <w:tc>
          <w:tcPr>
            <w:tcW w:w="2830" w:type="dxa"/>
            <w:tcBorders>
              <w:top w:val="single" w:sz="4" w:space="0" w:color="auto"/>
              <w:left w:val="single" w:sz="4" w:space="0" w:color="auto"/>
              <w:bottom w:val="nil"/>
              <w:right w:val="single" w:sz="4" w:space="0" w:color="auto"/>
            </w:tcBorders>
          </w:tcPr>
          <w:p w:rsidR="008F622E" w:rsidRPr="00D50E91" w:rsidRDefault="008F622E" w:rsidP="00C65880">
            <w:pPr>
              <w:autoSpaceDE w:val="0"/>
              <w:autoSpaceDN w:val="0"/>
              <w:adjustRightInd w:val="0"/>
              <w:rPr>
                <w:sz w:val="20"/>
                <w:szCs w:val="20"/>
              </w:rPr>
            </w:pPr>
          </w:p>
        </w:tc>
        <w:tc>
          <w:tcPr>
            <w:tcW w:w="3400" w:type="dxa"/>
            <w:gridSpan w:val="2"/>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ind w:left="56" w:right="56"/>
              <w:jc w:val="center"/>
              <w:rPr>
                <w:sz w:val="20"/>
                <w:szCs w:val="20"/>
              </w:rPr>
            </w:pPr>
            <w:r w:rsidRPr="00D50E91">
              <w:rPr>
                <w:sz w:val="20"/>
                <w:szCs w:val="20"/>
              </w:rPr>
              <w:t xml:space="preserve"> MSZ EN 3</w:t>
            </w:r>
            <w:r w:rsidR="003528A8">
              <w:rPr>
                <w:sz w:val="20"/>
                <w:szCs w:val="20"/>
              </w:rPr>
              <w:t>-</w:t>
            </w:r>
            <w:r w:rsidRPr="00D50E91">
              <w:rPr>
                <w:sz w:val="20"/>
                <w:szCs w:val="20"/>
              </w:rPr>
              <w:t>7 szabvány szerinti tűzosztály</w:t>
            </w:r>
          </w:p>
        </w:tc>
        <w:tc>
          <w:tcPr>
            <w:tcW w:w="3400"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ind w:left="56" w:right="56"/>
              <w:jc w:val="center"/>
              <w:rPr>
                <w:sz w:val="20"/>
                <w:szCs w:val="20"/>
              </w:rPr>
            </w:pPr>
            <w:r w:rsidRPr="00D50E91">
              <w:rPr>
                <w:sz w:val="20"/>
                <w:szCs w:val="20"/>
              </w:rPr>
              <w:t xml:space="preserve"> MSZ EN 1866 szabványsorozat szerinti tűzosztály</w:t>
            </w:r>
          </w:p>
        </w:tc>
      </w:tr>
      <w:tr w:rsidR="008F622E" w:rsidRPr="00D50E91" w:rsidTr="008F622E">
        <w:tc>
          <w:tcPr>
            <w:tcW w:w="557" w:type="dxa"/>
            <w:tcBorders>
              <w:top w:val="nil"/>
              <w:left w:val="single" w:sz="4" w:space="0" w:color="auto"/>
              <w:bottom w:val="single" w:sz="4" w:space="0" w:color="auto"/>
              <w:right w:val="single" w:sz="4" w:space="0" w:color="auto"/>
            </w:tcBorders>
          </w:tcPr>
          <w:p w:rsidR="008F622E" w:rsidRPr="00D50E91" w:rsidRDefault="008F622E" w:rsidP="008F622E">
            <w:pPr>
              <w:autoSpaceDE w:val="0"/>
              <w:autoSpaceDN w:val="0"/>
              <w:adjustRightInd w:val="0"/>
              <w:ind w:left="56" w:right="56"/>
              <w:jc w:val="center"/>
              <w:rPr>
                <w:sz w:val="20"/>
                <w:szCs w:val="20"/>
              </w:rPr>
            </w:pPr>
            <w:r w:rsidRPr="00D50E91">
              <w:rPr>
                <w:sz w:val="20"/>
                <w:szCs w:val="20"/>
              </w:rPr>
              <w:t xml:space="preserve"> 2</w:t>
            </w:r>
          </w:p>
        </w:tc>
        <w:tc>
          <w:tcPr>
            <w:tcW w:w="2830" w:type="dxa"/>
            <w:tcBorders>
              <w:top w:val="nil"/>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ind w:left="56" w:right="56"/>
              <w:jc w:val="center"/>
              <w:rPr>
                <w:sz w:val="20"/>
                <w:szCs w:val="20"/>
              </w:rPr>
            </w:pPr>
            <w:r w:rsidRPr="00D50E91">
              <w:rPr>
                <w:sz w:val="20"/>
                <w:szCs w:val="20"/>
              </w:rPr>
              <w:t xml:space="preserve"> Oltóanyag</w:t>
            </w:r>
            <w:r w:rsidR="003528A8">
              <w:rPr>
                <w:sz w:val="20"/>
                <w:szCs w:val="20"/>
              </w:rPr>
              <w:t>-</w:t>
            </w:r>
            <w:r w:rsidRPr="00D50E91">
              <w:rPr>
                <w:sz w:val="20"/>
                <w:szCs w:val="20"/>
              </w:rPr>
              <w:t>egység [OE]</w:t>
            </w:r>
          </w:p>
        </w:tc>
        <w:tc>
          <w:tcPr>
            <w:tcW w:w="1700"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ind w:left="56" w:right="56"/>
              <w:jc w:val="center"/>
              <w:rPr>
                <w:sz w:val="20"/>
                <w:szCs w:val="20"/>
              </w:rPr>
            </w:pPr>
            <w:r w:rsidRPr="00D50E91">
              <w:rPr>
                <w:sz w:val="20"/>
                <w:szCs w:val="20"/>
              </w:rPr>
              <w:t xml:space="preserve"> A</w:t>
            </w:r>
          </w:p>
        </w:tc>
        <w:tc>
          <w:tcPr>
            <w:tcW w:w="1700"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ind w:left="56" w:right="56"/>
              <w:jc w:val="center"/>
              <w:rPr>
                <w:sz w:val="20"/>
                <w:szCs w:val="20"/>
              </w:rPr>
            </w:pPr>
            <w:r w:rsidRPr="00D50E91">
              <w:rPr>
                <w:sz w:val="20"/>
                <w:szCs w:val="20"/>
              </w:rPr>
              <w:t xml:space="preserve"> B</w:t>
            </w:r>
          </w:p>
        </w:tc>
        <w:tc>
          <w:tcPr>
            <w:tcW w:w="3400"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rPr>
                <w:sz w:val="20"/>
                <w:szCs w:val="20"/>
              </w:rPr>
            </w:pPr>
            <w:r w:rsidRPr="00D50E91">
              <w:rPr>
                <w:sz w:val="20"/>
                <w:szCs w:val="20"/>
              </w:rPr>
              <w:t xml:space="preserve"> </w:t>
            </w:r>
          </w:p>
        </w:tc>
      </w:tr>
      <w:tr w:rsidR="008F622E" w:rsidRPr="00D50E91" w:rsidTr="008F622E">
        <w:tc>
          <w:tcPr>
            <w:tcW w:w="557" w:type="dxa"/>
            <w:tcBorders>
              <w:top w:val="single" w:sz="4" w:space="0" w:color="auto"/>
              <w:left w:val="single" w:sz="4" w:space="0" w:color="auto"/>
              <w:bottom w:val="single" w:sz="4" w:space="0" w:color="auto"/>
              <w:right w:val="single" w:sz="4" w:space="0" w:color="auto"/>
            </w:tcBorders>
          </w:tcPr>
          <w:p w:rsidR="008F622E" w:rsidRPr="00D50E91" w:rsidRDefault="008F622E" w:rsidP="008F622E">
            <w:pPr>
              <w:autoSpaceDE w:val="0"/>
              <w:autoSpaceDN w:val="0"/>
              <w:adjustRightInd w:val="0"/>
              <w:ind w:left="56" w:right="56"/>
              <w:jc w:val="center"/>
              <w:rPr>
                <w:sz w:val="20"/>
                <w:szCs w:val="20"/>
              </w:rPr>
            </w:pPr>
            <w:r w:rsidRPr="00D50E91">
              <w:rPr>
                <w:sz w:val="20"/>
                <w:szCs w:val="20"/>
              </w:rPr>
              <w:t xml:space="preserve"> 3</w:t>
            </w:r>
          </w:p>
        </w:tc>
        <w:tc>
          <w:tcPr>
            <w:tcW w:w="2830"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ind w:left="56" w:right="56"/>
              <w:jc w:val="center"/>
              <w:rPr>
                <w:sz w:val="20"/>
                <w:szCs w:val="20"/>
              </w:rPr>
            </w:pPr>
            <w:r w:rsidRPr="00D50E91">
              <w:rPr>
                <w:sz w:val="20"/>
                <w:szCs w:val="20"/>
              </w:rPr>
              <w:t xml:space="preserve"> 1</w:t>
            </w:r>
          </w:p>
        </w:tc>
        <w:tc>
          <w:tcPr>
            <w:tcW w:w="1700"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ind w:left="56" w:right="56"/>
              <w:jc w:val="center"/>
              <w:rPr>
                <w:sz w:val="20"/>
                <w:szCs w:val="20"/>
              </w:rPr>
            </w:pPr>
            <w:r w:rsidRPr="00D50E91">
              <w:rPr>
                <w:sz w:val="20"/>
                <w:szCs w:val="20"/>
              </w:rPr>
              <w:t xml:space="preserve"> 5A</w:t>
            </w:r>
          </w:p>
        </w:tc>
        <w:tc>
          <w:tcPr>
            <w:tcW w:w="1700"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ind w:left="56" w:right="56"/>
              <w:jc w:val="center"/>
              <w:rPr>
                <w:sz w:val="20"/>
                <w:szCs w:val="20"/>
              </w:rPr>
            </w:pPr>
            <w:r w:rsidRPr="00D50E91">
              <w:rPr>
                <w:sz w:val="20"/>
                <w:szCs w:val="20"/>
              </w:rPr>
              <w:t xml:space="preserve"> 21B</w:t>
            </w:r>
          </w:p>
        </w:tc>
        <w:tc>
          <w:tcPr>
            <w:tcW w:w="3400"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rPr>
                <w:sz w:val="20"/>
                <w:szCs w:val="20"/>
              </w:rPr>
            </w:pPr>
            <w:r w:rsidRPr="00D50E91">
              <w:rPr>
                <w:sz w:val="20"/>
                <w:szCs w:val="20"/>
              </w:rPr>
              <w:t xml:space="preserve"> </w:t>
            </w:r>
          </w:p>
        </w:tc>
      </w:tr>
      <w:tr w:rsidR="008F622E" w:rsidRPr="00D50E91" w:rsidTr="008F622E">
        <w:tc>
          <w:tcPr>
            <w:tcW w:w="557" w:type="dxa"/>
            <w:tcBorders>
              <w:top w:val="single" w:sz="4" w:space="0" w:color="auto"/>
              <w:left w:val="single" w:sz="4" w:space="0" w:color="auto"/>
              <w:bottom w:val="single" w:sz="4" w:space="0" w:color="auto"/>
              <w:right w:val="single" w:sz="4" w:space="0" w:color="auto"/>
            </w:tcBorders>
          </w:tcPr>
          <w:p w:rsidR="008F622E" w:rsidRPr="00D50E91" w:rsidRDefault="008F622E" w:rsidP="008F622E">
            <w:pPr>
              <w:autoSpaceDE w:val="0"/>
              <w:autoSpaceDN w:val="0"/>
              <w:adjustRightInd w:val="0"/>
              <w:ind w:left="56" w:right="56"/>
              <w:jc w:val="center"/>
              <w:rPr>
                <w:sz w:val="20"/>
                <w:szCs w:val="20"/>
              </w:rPr>
            </w:pPr>
            <w:r w:rsidRPr="00D50E91">
              <w:rPr>
                <w:sz w:val="20"/>
                <w:szCs w:val="20"/>
              </w:rPr>
              <w:t xml:space="preserve"> 4</w:t>
            </w:r>
          </w:p>
        </w:tc>
        <w:tc>
          <w:tcPr>
            <w:tcW w:w="2830"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ind w:left="56" w:right="56"/>
              <w:jc w:val="center"/>
              <w:rPr>
                <w:sz w:val="20"/>
                <w:szCs w:val="20"/>
              </w:rPr>
            </w:pPr>
            <w:r w:rsidRPr="00D50E91">
              <w:rPr>
                <w:sz w:val="20"/>
                <w:szCs w:val="20"/>
              </w:rPr>
              <w:t xml:space="preserve"> 2</w:t>
            </w:r>
          </w:p>
        </w:tc>
        <w:tc>
          <w:tcPr>
            <w:tcW w:w="1700"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ind w:left="56" w:right="56"/>
              <w:jc w:val="center"/>
              <w:rPr>
                <w:sz w:val="20"/>
                <w:szCs w:val="20"/>
              </w:rPr>
            </w:pPr>
            <w:r w:rsidRPr="00D50E91">
              <w:rPr>
                <w:sz w:val="20"/>
                <w:szCs w:val="20"/>
              </w:rPr>
              <w:t xml:space="preserve"> 8A</w:t>
            </w:r>
          </w:p>
        </w:tc>
        <w:tc>
          <w:tcPr>
            <w:tcW w:w="1700"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ind w:left="56" w:right="56"/>
              <w:jc w:val="center"/>
              <w:rPr>
                <w:sz w:val="20"/>
                <w:szCs w:val="20"/>
              </w:rPr>
            </w:pPr>
            <w:r w:rsidRPr="00D50E91">
              <w:rPr>
                <w:sz w:val="20"/>
                <w:szCs w:val="20"/>
              </w:rPr>
              <w:t xml:space="preserve"> 34B</w:t>
            </w:r>
          </w:p>
        </w:tc>
        <w:tc>
          <w:tcPr>
            <w:tcW w:w="3400"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rPr>
                <w:sz w:val="20"/>
                <w:szCs w:val="20"/>
              </w:rPr>
            </w:pPr>
            <w:r w:rsidRPr="00D50E91">
              <w:rPr>
                <w:sz w:val="20"/>
                <w:szCs w:val="20"/>
              </w:rPr>
              <w:t xml:space="preserve"> </w:t>
            </w:r>
          </w:p>
        </w:tc>
      </w:tr>
      <w:tr w:rsidR="008F622E" w:rsidRPr="00D50E91" w:rsidTr="008F622E">
        <w:tc>
          <w:tcPr>
            <w:tcW w:w="557" w:type="dxa"/>
            <w:tcBorders>
              <w:top w:val="single" w:sz="4" w:space="0" w:color="auto"/>
              <w:left w:val="single" w:sz="4" w:space="0" w:color="auto"/>
              <w:bottom w:val="single" w:sz="4" w:space="0" w:color="auto"/>
              <w:right w:val="single" w:sz="4" w:space="0" w:color="auto"/>
            </w:tcBorders>
          </w:tcPr>
          <w:p w:rsidR="008F622E" w:rsidRPr="00D50E91" w:rsidRDefault="008F622E" w:rsidP="008F622E">
            <w:pPr>
              <w:autoSpaceDE w:val="0"/>
              <w:autoSpaceDN w:val="0"/>
              <w:adjustRightInd w:val="0"/>
              <w:ind w:left="56" w:right="56"/>
              <w:jc w:val="center"/>
              <w:rPr>
                <w:sz w:val="20"/>
                <w:szCs w:val="20"/>
              </w:rPr>
            </w:pPr>
            <w:r w:rsidRPr="00D50E91">
              <w:rPr>
                <w:sz w:val="20"/>
                <w:szCs w:val="20"/>
              </w:rPr>
              <w:t xml:space="preserve"> 5</w:t>
            </w:r>
          </w:p>
        </w:tc>
        <w:tc>
          <w:tcPr>
            <w:tcW w:w="2830"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ind w:left="56" w:right="56"/>
              <w:jc w:val="center"/>
              <w:rPr>
                <w:sz w:val="20"/>
                <w:szCs w:val="20"/>
              </w:rPr>
            </w:pPr>
            <w:r w:rsidRPr="00D50E91">
              <w:rPr>
                <w:sz w:val="20"/>
                <w:szCs w:val="20"/>
              </w:rPr>
              <w:t xml:space="preserve"> 3</w:t>
            </w:r>
          </w:p>
        </w:tc>
        <w:tc>
          <w:tcPr>
            <w:tcW w:w="1700"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rPr>
                <w:sz w:val="20"/>
                <w:szCs w:val="20"/>
              </w:rPr>
            </w:pPr>
            <w:r w:rsidRPr="00D50E91">
              <w:rPr>
                <w:sz w:val="20"/>
                <w:szCs w:val="20"/>
              </w:rPr>
              <w:t xml:space="preserve"> </w:t>
            </w:r>
          </w:p>
        </w:tc>
        <w:tc>
          <w:tcPr>
            <w:tcW w:w="1700"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ind w:left="56" w:right="56"/>
              <w:jc w:val="center"/>
              <w:rPr>
                <w:sz w:val="20"/>
                <w:szCs w:val="20"/>
              </w:rPr>
            </w:pPr>
            <w:r w:rsidRPr="00D50E91">
              <w:rPr>
                <w:sz w:val="20"/>
                <w:szCs w:val="20"/>
              </w:rPr>
              <w:t xml:space="preserve"> 55B</w:t>
            </w:r>
          </w:p>
        </w:tc>
        <w:tc>
          <w:tcPr>
            <w:tcW w:w="3400"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rPr>
                <w:sz w:val="20"/>
                <w:szCs w:val="20"/>
              </w:rPr>
            </w:pPr>
            <w:r w:rsidRPr="00D50E91">
              <w:rPr>
                <w:sz w:val="20"/>
                <w:szCs w:val="20"/>
              </w:rPr>
              <w:t xml:space="preserve"> </w:t>
            </w:r>
          </w:p>
        </w:tc>
      </w:tr>
      <w:tr w:rsidR="008F622E" w:rsidRPr="00D50E91" w:rsidTr="008F622E">
        <w:tc>
          <w:tcPr>
            <w:tcW w:w="557" w:type="dxa"/>
            <w:tcBorders>
              <w:top w:val="single" w:sz="4" w:space="0" w:color="auto"/>
              <w:left w:val="single" w:sz="4" w:space="0" w:color="auto"/>
              <w:bottom w:val="single" w:sz="4" w:space="0" w:color="auto"/>
              <w:right w:val="single" w:sz="4" w:space="0" w:color="auto"/>
            </w:tcBorders>
          </w:tcPr>
          <w:p w:rsidR="008F622E" w:rsidRPr="00D50E91" w:rsidRDefault="008F622E" w:rsidP="008F622E">
            <w:pPr>
              <w:autoSpaceDE w:val="0"/>
              <w:autoSpaceDN w:val="0"/>
              <w:adjustRightInd w:val="0"/>
              <w:ind w:left="56" w:right="56"/>
              <w:jc w:val="center"/>
              <w:rPr>
                <w:sz w:val="20"/>
                <w:szCs w:val="20"/>
              </w:rPr>
            </w:pPr>
            <w:r w:rsidRPr="00D50E91">
              <w:rPr>
                <w:sz w:val="20"/>
                <w:szCs w:val="20"/>
              </w:rPr>
              <w:t xml:space="preserve"> 6</w:t>
            </w:r>
          </w:p>
        </w:tc>
        <w:tc>
          <w:tcPr>
            <w:tcW w:w="2830"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ind w:left="56" w:right="56"/>
              <w:jc w:val="center"/>
              <w:rPr>
                <w:sz w:val="20"/>
                <w:szCs w:val="20"/>
              </w:rPr>
            </w:pPr>
            <w:r w:rsidRPr="00D50E91">
              <w:rPr>
                <w:sz w:val="20"/>
                <w:szCs w:val="20"/>
              </w:rPr>
              <w:t xml:space="preserve"> 4</w:t>
            </w:r>
          </w:p>
        </w:tc>
        <w:tc>
          <w:tcPr>
            <w:tcW w:w="1700"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ind w:left="56" w:right="56"/>
              <w:jc w:val="center"/>
              <w:rPr>
                <w:sz w:val="20"/>
                <w:szCs w:val="20"/>
              </w:rPr>
            </w:pPr>
            <w:r w:rsidRPr="00D50E91">
              <w:rPr>
                <w:sz w:val="20"/>
                <w:szCs w:val="20"/>
              </w:rPr>
              <w:t xml:space="preserve"> 13A</w:t>
            </w:r>
          </w:p>
        </w:tc>
        <w:tc>
          <w:tcPr>
            <w:tcW w:w="1700"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ind w:left="56" w:right="56"/>
              <w:jc w:val="center"/>
              <w:rPr>
                <w:sz w:val="20"/>
                <w:szCs w:val="20"/>
              </w:rPr>
            </w:pPr>
            <w:r w:rsidRPr="00D50E91">
              <w:rPr>
                <w:sz w:val="20"/>
                <w:szCs w:val="20"/>
              </w:rPr>
              <w:t xml:space="preserve"> 70B</w:t>
            </w:r>
          </w:p>
        </w:tc>
        <w:tc>
          <w:tcPr>
            <w:tcW w:w="3400"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rPr>
                <w:sz w:val="20"/>
                <w:szCs w:val="20"/>
              </w:rPr>
            </w:pPr>
            <w:r w:rsidRPr="00D50E91">
              <w:rPr>
                <w:sz w:val="20"/>
                <w:szCs w:val="20"/>
              </w:rPr>
              <w:t xml:space="preserve"> </w:t>
            </w:r>
          </w:p>
        </w:tc>
      </w:tr>
      <w:tr w:rsidR="008F622E" w:rsidRPr="00D50E91" w:rsidTr="008F622E">
        <w:tc>
          <w:tcPr>
            <w:tcW w:w="557" w:type="dxa"/>
            <w:tcBorders>
              <w:top w:val="single" w:sz="4" w:space="0" w:color="auto"/>
              <w:left w:val="single" w:sz="4" w:space="0" w:color="auto"/>
              <w:bottom w:val="single" w:sz="4" w:space="0" w:color="auto"/>
              <w:right w:val="single" w:sz="4" w:space="0" w:color="auto"/>
            </w:tcBorders>
          </w:tcPr>
          <w:p w:rsidR="008F622E" w:rsidRPr="00D50E91" w:rsidRDefault="008F622E" w:rsidP="008F622E">
            <w:pPr>
              <w:autoSpaceDE w:val="0"/>
              <w:autoSpaceDN w:val="0"/>
              <w:adjustRightInd w:val="0"/>
              <w:ind w:left="56" w:right="56"/>
              <w:jc w:val="center"/>
              <w:rPr>
                <w:sz w:val="20"/>
                <w:szCs w:val="20"/>
              </w:rPr>
            </w:pPr>
            <w:r w:rsidRPr="00D50E91">
              <w:rPr>
                <w:sz w:val="20"/>
                <w:szCs w:val="20"/>
              </w:rPr>
              <w:t xml:space="preserve"> 7</w:t>
            </w:r>
          </w:p>
        </w:tc>
        <w:tc>
          <w:tcPr>
            <w:tcW w:w="2830"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ind w:left="56" w:right="56"/>
              <w:jc w:val="center"/>
              <w:rPr>
                <w:sz w:val="20"/>
                <w:szCs w:val="20"/>
              </w:rPr>
            </w:pPr>
            <w:r w:rsidRPr="00D50E91">
              <w:rPr>
                <w:sz w:val="20"/>
                <w:szCs w:val="20"/>
              </w:rPr>
              <w:t xml:space="preserve"> 5</w:t>
            </w:r>
          </w:p>
        </w:tc>
        <w:tc>
          <w:tcPr>
            <w:tcW w:w="1700"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rPr>
                <w:sz w:val="20"/>
                <w:szCs w:val="20"/>
              </w:rPr>
            </w:pPr>
            <w:r w:rsidRPr="00D50E91">
              <w:rPr>
                <w:sz w:val="20"/>
                <w:szCs w:val="20"/>
              </w:rPr>
              <w:t xml:space="preserve"> </w:t>
            </w:r>
          </w:p>
        </w:tc>
        <w:tc>
          <w:tcPr>
            <w:tcW w:w="1700"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ind w:left="56" w:right="56"/>
              <w:jc w:val="center"/>
              <w:rPr>
                <w:sz w:val="20"/>
                <w:szCs w:val="20"/>
              </w:rPr>
            </w:pPr>
            <w:r w:rsidRPr="00D50E91">
              <w:rPr>
                <w:sz w:val="20"/>
                <w:szCs w:val="20"/>
              </w:rPr>
              <w:t xml:space="preserve"> 89B</w:t>
            </w:r>
          </w:p>
        </w:tc>
        <w:tc>
          <w:tcPr>
            <w:tcW w:w="3400"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rPr>
                <w:sz w:val="20"/>
                <w:szCs w:val="20"/>
              </w:rPr>
            </w:pPr>
            <w:r w:rsidRPr="00D50E91">
              <w:rPr>
                <w:sz w:val="20"/>
                <w:szCs w:val="20"/>
              </w:rPr>
              <w:t xml:space="preserve"> </w:t>
            </w:r>
          </w:p>
        </w:tc>
      </w:tr>
      <w:tr w:rsidR="008F622E" w:rsidRPr="00D50E91" w:rsidTr="008F622E">
        <w:tc>
          <w:tcPr>
            <w:tcW w:w="557" w:type="dxa"/>
            <w:tcBorders>
              <w:top w:val="single" w:sz="4" w:space="0" w:color="auto"/>
              <w:left w:val="single" w:sz="4" w:space="0" w:color="auto"/>
              <w:bottom w:val="single" w:sz="4" w:space="0" w:color="auto"/>
              <w:right w:val="single" w:sz="4" w:space="0" w:color="auto"/>
            </w:tcBorders>
          </w:tcPr>
          <w:p w:rsidR="008F622E" w:rsidRPr="00D50E91" w:rsidRDefault="008F622E" w:rsidP="008F622E">
            <w:pPr>
              <w:autoSpaceDE w:val="0"/>
              <w:autoSpaceDN w:val="0"/>
              <w:adjustRightInd w:val="0"/>
              <w:ind w:left="56" w:right="56"/>
              <w:jc w:val="center"/>
              <w:rPr>
                <w:sz w:val="20"/>
                <w:szCs w:val="20"/>
              </w:rPr>
            </w:pPr>
            <w:r w:rsidRPr="00D50E91">
              <w:rPr>
                <w:sz w:val="20"/>
                <w:szCs w:val="20"/>
              </w:rPr>
              <w:t xml:space="preserve"> 8</w:t>
            </w:r>
          </w:p>
        </w:tc>
        <w:tc>
          <w:tcPr>
            <w:tcW w:w="2830"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ind w:left="56" w:right="56"/>
              <w:jc w:val="center"/>
              <w:rPr>
                <w:sz w:val="20"/>
                <w:szCs w:val="20"/>
              </w:rPr>
            </w:pPr>
            <w:r w:rsidRPr="00D50E91">
              <w:rPr>
                <w:sz w:val="20"/>
                <w:szCs w:val="20"/>
              </w:rPr>
              <w:t xml:space="preserve"> 6</w:t>
            </w:r>
          </w:p>
        </w:tc>
        <w:tc>
          <w:tcPr>
            <w:tcW w:w="1700"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ind w:left="56" w:right="56"/>
              <w:jc w:val="center"/>
              <w:rPr>
                <w:sz w:val="20"/>
                <w:szCs w:val="20"/>
              </w:rPr>
            </w:pPr>
            <w:r w:rsidRPr="00D50E91">
              <w:rPr>
                <w:sz w:val="20"/>
                <w:szCs w:val="20"/>
              </w:rPr>
              <w:t xml:space="preserve"> 21A</w:t>
            </w:r>
          </w:p>
        </w:tc>
        <w:tc>
          <w:tcPr>
            <w:tcW w:w="1700"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ind w:left="56" w:right="56"/>
              <w:jc w:val="center"/>
              <w:rPr>
                <w:sz w:val="20"/>
                <w:szCs w:val="20"/>
              </w:rPr>
            </w:pPr>
            <w:r w:rsidRPr="00D50E91">
              <w:rPr>
                <w:sz w:val="20"/>
                <w:szCs w:val="20"/>
              </w:rPr>
              <w:t xml:space="preserve"> 113B</w:t>
            </w:r>
          </w:p>
        </w:tc>
        <w:tc>
          <w:tcPr>
            <w:tcW w:w="3400"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rPr>
                <w:sz w:val="20"/>
                <w:szCs w:val="20"/>
              </w:rPr>
            </w:pPr>
            <w:r w:rsidRPr="00D50E91">
              <w:rPr>
                <w:sz w:val="20"/>
                <w:szCs w:val="20"/>
              </w:rPr>
              <w:t xml:space="preserve"> </w:t>
            </w:r>
          </w:p>
        </w:tc>
      </w:tr>
      <w:tr w:rsidR="008F622E" w:rsidRPr="00D50E91" w:rsidTr="008F622E">
        <w:tc>
          <w:tcPr>
            <w:tcW w:w="557" w:type="dxa"/>
            <w:tcBorders>
              <w:top w:val="single" w:sz="4" w:space="0" w:color="auto"/>
              <w:left w:val="single" w:sz="4" w:space="0" w:color="auto"/>
              <w:bottom w:val="single" w:sz="4" w:space="0" w:color="auto"/>
              <w:right w:val="single" w:sz="4" w:space="0" w:color="auto"/>
            </w:tcBorders>
          </w:tcPr>
          <w:p w:rsidR="008F622E" w:rsidRPr="00D50E91" w:rsidRDefault="008F622E" w:rsidP="008F622E">
            <w:pPr>
              <w:autoSpaceDE w:val="0"/>
              <w:autoSpaceDN w:val="0"/>
              <w:adjustRightInd w:val="0"/>
              <w:ind w:left="56" w:right="56"/>
              <w:jc w:val="center"/>
              <w:rPr>
                <w:sz w:val="20"/>
                <w:szCs w:val="20"/>
              </w:rPr>
            </w:pPr>
            <w:r w:rsidRPr="00D50E91">
              <w:rPr>
                <w:sz w:val="20"/>
                <w:szCs w:val="20"/>
              </w:rPr>
              <w:t xml:space="preserve"> 9</w:t>
            </w:r>
          </w:p>
        </w:tc>
        <w:tc>
          <w:tcPr>
            <w:tcW w:w="2830"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ind w:left="56" w:right="56"/>
              <w:jc w:val="center"/>
              <w:rPr>
                <w:sz w:val="20"/>
                <w:szCs w:val="20"/>
              </w:rPr>
            </w:pPr>
            <w:r w:rsidRPr="00D50E91">
              <w:rPr>
                <w:sz w:val="20"/>
                <w:szCs w:val="20"/>
              </w:rPr>
              <w:t xml:space="preserve"> 9</w:t>
            </w:r>
          </w:p>
        </w:tc>
        <w:tc>
          <w:tcPr>
            <w:tcW w:w="1700"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ind w:left="56" w:right="56"/>
              <w:jc w:val="center"/>
              <w:rPr>
                <w:sz w:val="20"/>
                <w:szCs w:val="20"/>
              </w:rPr>
            </w:pPr>
            <w:r w:rsidRPr="00D50E91">
              <w:rPr>
                <w:sz w:val="20"/>
                <w:szCs w:val="20"/>
              </w:rPr>
              <w:t xml:space="preserve"> 27A</w:t>
            </w:r>
          </w:p>
        </w:tc>
        <w:tc>
          <w:tcPr>
            <w:tcW w:w="1700"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ind w:left="56" w:right="56"/>
              <w:jc w:val="center"/>
              <w:rPr>
                <w:sz w:val="20"/>
                <w:szCs w:val="20"/>
              </w:rPr>
            </w:pPr>
            <w:r w:rsidRPr="00D50E91">
              <w:rPr>
                <w:sz w:val="20"/>
                <w:szCs w:val="20"/>
              </w:rPr>
              <w:t xml:space="preserve"> 144B</w:t>
            </w:r>
          </w:p>
        </w:tc>
        <w:tc>
          <w:tcPr>
            <w:tcW w:w="3400"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rPr>
                <w:sz w:val="20"/>
                <w:szCs w:val="20"/>
              </w:rPr>
            </w:pPr>
            <w:r w:rsidRPr="00D50E91">
              <w:rPr>
                <w:sz w:val="20"/>
                <w:szCs w:val="20"/>
              </w:rPr>
              <w:t xml:space="preserve"> </w:t>
            </w:r>
          </w:p>
        </w:tc>
      </w:tr>
      <w:tr w:rsidR="008F622E" w:rsidRPr="00D50E91" w:rsidTr="008F622E">
        <w:tc>
          <w:tcPr>
            <w:tcW w:w="557" w:type="dxa"/>
            <w:tcBorders>
              <w:top w:val="single" w:sz="4" w:space="0" w:color="auto"/>
              <w:left w:val="single" w:sz="4" w:space="0" w:color="auto"/>
              <w:bottom w:val="single" w:sz="4" w:space="0" w:color="auto"/>
              <w:right w:val="single" w:sz="4" w:space="0" w:color="auto"/>
            </w:tcBorders>
          </w:tcPr>
          <w:p w:rsidR="008F622E" w:rsidRPr="00D50E91" w:rsidRDefault="008F622E" w:rsidP="008F622E">
            <w:pPr>
              <w:autoSpaceDE w:val="0"/>
              <w:autoSpaceDN w:val="0"/>
              <w:adjustRightInd w:val="0"/>
              <w:ind w:left="56" w:right="56"/>
              <w:jc w:val="center"/>
              <w:rPr>
                <w:sz w:val="20"/>
                <w:szCs w:val="20"/>
              </w:rPr>
            </w:pPr>
            <w:r w:rsidRPr="00D50E91">
              <w:rPr>
                <w:sz w:val="20"/>
                <w:szCs w:val="20"/>
              </w:rPr>
              <w:t xml:space="preserve"> 10</w:t>
            </w:r>
          </w:p>
        </w:tc>
        <w:tc>
          <w:tcPr>
            <w:tcW w:w="2830"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ind w:left="56" w:right="56"/>
              <w:jc w:val="center"/>
              <w:rPr>
                <w:sz w:val="20"/>
                <w:szCs w:val="20"/>
              </w:rPr>
            </w:pPr>
            <w:r w:rsidRPr="00D50E91">
              <w:rPr>
                <w:sz w:val="20"/>
                <w:szCs w:val="20"/>
              </w:rPr>
              <w:t xml:space="preserve"> 10</w:t>
            </w:r>
          </w:p>
        </w:tc>
        <w:tc>
          <w:tcPr>
            <w:tcW w:w="1700"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ind w:left="56" w:right="56"/>
              <w:jc w:val="center"/>
              <w:rPr>
                <w:sz w:val="20"/>
                <w:szCs w:val="20"/>
              </w:rPr>
            </w:pPr>
            <w:r w:rsidRPr="00D50E91">
              <w:rPr>
                <w:sz w:val="20"/>
                <w:szCs w:val="20"/>
              </w:rPr>
              <w:t xml:space="preserve"> 34A</w:t>
            </w:r>
          </w:p>
        </w:tc>
        <w:tc>
          <w:tcPr>
            <w:tcW w:w="1700"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rPr>
                <w:sz w:val="20"/>
                <w:szCs w:val="20"/>
              </w:rPr>
            </w:pPr>
            <w:r w:rsidRPr="00D50E91">
              <w:rPr>
                <w:sz w:val="20"/>
                <w:szCs w:val="20"/>
              </w:rPr>
              <w:t xml:space="preserve"> </w:t>
            </w:r>
          </w:p>
        </w:tc>
        <w:tc>
          <w:tcPr>
            <w:tcW w:w="3400"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rPr>
                <w:sz w:val="20"/>
                <w:szCs w:val="20"/>
              </w:rPr>
            </w:pPr>
            <w:r w:rsidRPr="00D50E91">
              <w:rPr>
                <w:sz w:val="20"/>
                <w:szCs w:val="20"/>
              </w:rPr>
              <w:t xml:space="preserve"> </w:t>
            </w:r>
          </w:p>
        </w:tc>
      </w:tr>
      <w:tr w:rsidR="008F622E" w:rsidRPr="00D50E91" w:rsidTr="008F622E">
        <w:tc>
          <w:tcPr>
            <w:tcW w:w="557" w:type="dxa"/>
            <w:tcBorders>
              <w:top w:val="single" w:sz="4" w:space="0" w:color="auto"/>
              <w:left w:val="single" w:sz="4" w:space="0" w:color="auto"/>
              <w:bottom w:val="single" w:sz="4" w:space="0" w:color="auto"/>
              <w:right w:val="single" w:sz="4" w:space="0" w:color="auto"/>
            </w:tcBorders>
          </w:tcPr>
          <w:p w:rsidR="008F622E" w:rsidRPr="00D50E91" w:rsidRDefault="008F622E" w:rsidP="008F622E">
            <w:pPr>
              <w:autoSpaceDE w:val="0"/>
              <w:autoSpaceDN w:val="0"/>
              <w:adjustRightInd w:val="0"/>
              <w:ind w:left="56" w:right="56"/>
              <w:jc w:val="center"/>
              <w:rPr>
                <w:sz w:val="20"/>
                <w:szCs w:val="20"/>
              </w:rPr>
            </w:pPr>
            <w:r w:rsidRPr="00D50E91">
              <w:rPr>
                <w:sz w:val="20"/>
                <w:szCs w:val="20"/>
              </w:rPr>
              <w:t xml:space="preserve"> 11</w:t>
            </w:r>
          </w:p>
        </w:tc>
        <w:tc>
          <w:tcPr>
            <w:tcW w:w="2830"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ind w:left="56" w:right="56"/>
              <w:jc w:val="center"/>
              <w:rPr>
                <w:sz w:val="20"/>
                <w:szCs w:val="20"/>
              </w:rPr>
            </w:pPr>
            <w:r w:rsidRPr="00D50E91">
              <w:rPr>
                <w:sz w:val="20"/>
                <w:szCs w:val="20"/>
              </w:rPr>
              <w:t xml:space="preserve"> 12</w:t>
            </w:r>
          </w:p>
        </w:tc>
        <w:tc>
          <w:tcPr>
            <w:tcW w:w="1700"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ind w:left="56" w:right="56"/>
              <w:jc w:val="center"/>
              <w:rPr>
                <w:sz w:val="20"/>
                <w:szCs w:val="20"/>
              </w:rPr>
            </w:pPr>
            <w:r w:rsidRPr="00D50E91">
              <w:rPr>
                <w:sz w:val="20"/>
                <w:szCs w:val="20"/>
              </w:rPr>
              <w:t xml:space="preserve"> 43A</w:t>
            </w:r>
          </w:p>
        </w:tc>
        <w:tc>
          <w:tcPr>
            <w:tcW w:w="1700"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ind w:left="56" w:right="56"/>
              <w:jc w:val="center"/>
              <w:rPr>
                <w:sz w:val="20"/>
                <w:szCs w:val="20"/>
              </w:rPr>
            </w:pPr>
            <w:r w:rsidRPr="00D50E91">
              <w:rPr>
                <w:sz w:val="20"/>
                <w:szCs w:val="20"/>
              </w:rPr>
              <w:t xml:space="preserve"> 183B</w:t>
            </w:r>
          </w:p>
        </w:tc>
        <w:tc>
          <w:tcPr>
            <w:tcW w:w="3400"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rPr>
                <w:sz w:val="20"/>
                <w:szCs w:val="20"/>
              </w:rPr>
            </w:pPr>
            <w:r w:rsidRPr="00D50E91">
              <w:rPr>
                <w:sz w:val="20"/>
                <w:szCs w:val="20"/>
              </w:rPr>
              <w:t xml:space="preserve"> </w:t>
            </w:r>
          </w:p>
        </w:tc>
      </w:tr>
      <w:tr w:rsidR="008F622E" w:rsidRPr="00D50E91" w:rsidTr="008F622E">
        <w:tc>
          <w:tcPr>
            <w:tcW w:w="557" w:type="dxa"/>
            <w:tcBorders>
              <w:top w:val="single" w:sz="4" w:space="0" w:color="auto"/>
              <w:left w:val="single" w:sz="4" w:space="0" w:color="auto"/>
              <w:bottom w:val="single" w:sz="4" w:space="0" w:color="auto"/>
              <w:right w:val="single" w:sz="4" w:space="0" w:color="auto"/>
            </w:tcBorders>
          </w:tcPr>
          <w:p w:rsidR="008F622E" w:rsidRPr="00D50E91" w:rsidRDefault="008F622E" w:rsidP="008F622E">
            <w:pPr>
              <w:autoSpaceDE w:val="0"/>
              <w:autoSpaceDN w:val="0"/>
              <w:adjustRightInd w:val="0"/>
              <w:ind w:left="56" w:right="56"/>
              <w:jc w:val="center"/>
              <w:rPr>
                <w:sz w:val="20"/>
                <w:szCs w:val="20"/>
              </w:rPr>
            </w:pPr>
            <w:r w:rsidRPr="00D50E91">
              <w:rPr>
                <w:sz w:val="20"/>
                <w:szCs w:val="20"/>
              </w:rPr>
              <w:t xml:space="preserve"> 12</w:t>
            </w:r>
          </w:p>
        </w:tc>
        <w:tc>
          <w:tcPr>
            <w:tcW w:w="2830"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ind w:left="56" w:right="56"/>
              <w:jc w:val="center"/>
              <w:rPr>
                <w:sz w:val="20"/>
                <w:szCs w:val="20"/>
              </w:rPr>
            </w:pPr>
            <w:r w:rsidRPr="00D50E91">
              <w:rPr>
                <w:sz w:val="20"/>
                <w:szCs w:val="20"/>
              </w:rPr>
              <w:t xml:space="preserve"> 15</w:t>
            </w:r>
          </w:p>
        </w:tc>
        <w:tc>
          <w:tcPr>
            <w:tcW w:w="1700"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ind w:left="56" w:right="56"/>
              <w:jc w:val="center"/>
              <w:rPr>
                <w:sz w:val="20"/>
                <w:szCs w:val="20"/>
              </w:rPr>
            </w:pPr>
            <w:r w:rsidRPr="00D50E91">
              <w:rPr>
                <w:sz w:val="20"/>
                <w:szCs w:val="20"/>
              </w:rPr>
              <w:t xml:space="preserve"> 55A</w:t>
            </w:r>
          </w:p>
        </w:tc>
        <w:tc>
          <w:tcPr>
            <w:tcW w:w="1700"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ind w:left="56" w:right="56"/>
              <w:jc w:val="center"/>
              <w:rPr>
                <w:sz w:val="20"/>
                <w:szCs w:val="20"/>
              </w:rPr>
            </w:pPr>
            <w:r w:rsidRPr="00D50E91">
              <w:rPr>
                <w:sz w:val="20"/>
                <w:szCs w:val="20"/>
              </w:rPr>
              <w:t xml:space="preserve"> 233B</w:t>
            </w:r>
          </w:p>
        </w:tc>
        <w:tc>
          <w:tcPr>
            <w:tcW w:w="3400"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rPr>
                <w:sz w:val="20"/>
                <w:szCs w:val="20"/>
              </w:rPr>
            </w:pPr>
            <w:r w:rsidRPr="00D50E91">
              <w:rPr>
                <w:sz w:val="20"/>
                <w:szCs w:val="20"/>
              </w:rPr>
              <w:t xml:space="preserve"> </w:t>
            </w:r>
          </w:p>
        </w:tc>
      </w:tr>
      <w:tr w:rsidR="008F622E" w:rsidRPr="00D50E91" w:rsidTr="008F622E">
        <w:tc>
          <w:tcPr>
            <w:tcW w:w="557" w:type="dxa"/>
            <w:tcBorders>
              <w:top w:val="single" w:sz="4" w:space="0" w:color="auto"/>
              <w:left w:val="single" w:sz="4" w:space="0" w:color="auto"/>
              <w:bottom w:val="single" w:sz="4" w:space="0" w:color="auto"/>
              <w:right w:val="single" w:sz="4" w:space="0" w:color="auto"/>
            </w:tcBorders>
          </w:tcPr>
          <w:p w:rsidR="008F622E" w:rsidRPr="00D50E91" w:rsidRDefault="008F622E" w:rsidP="008F622E">
            <w:pPr>
              <w:autoSpaceDE w:val="0"/>
              <w:autoSpaceDN w:val="0"/>
              <w:adjustRightInd w:val="0"/>
              <w:ind w:left="56" w:right="56"/>
              <w:jc w:val="center"/>
              <w:rPr>
                <w:sz w:val="20"/>
                <w:szCs w:val="20"/>
              </w:rPr>
            </w:pPr>
            <w:r w:rsidRPr="00D50E91">
              <w:rPr>
                <w:sz w:val="20"/>
                <w:szCs w:val="20"/>
              </w:rPr>
              <w:t xml:space="preserve"> 13</w:t>
            </w:r>
          </w:p>
        </w:tc>
        <w:tc>
          <w:tcPr>
            <w:tcW w:w="2830"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ind w:left="56" w:right="56"/>
              <w:jc w:val="center"/>
              <w:rPr>
                <w:sz w:val="20"/>
                <w:szCs w:val="20"/>
              </w:rPr>
            </w:pPr>
            <w:r w:rsidRPr="00D50E91">
              <w:rPr>
                <w:sz w:val="20"/>
                <w:szCs w:val="20"/>
              </w:rPr>
              <w:t xml:space="preserve"> 16</w:t>
            </w:r>
          </w:p>
        </w:tc>
        <w:tc>
          <w:tcPr>
            <w:tcW w:w="1700"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rPr>
                <w:sz w:val="20"/>
                <w:szCs w:val="20"/>
              </w:rPr>
            </w:pPr>
            <w:r w:rsidRPr="00D50E91">
              <w:rPr>
                <w:sz w:val="20"/>
                <w:szCs w:val="20"/>
              </w:rPr>
              <w:t xml:space="preserve"> </w:t>
            </w:r>
          </w:p>
        </w:tc>
        <w:tc>
          <w:tcPr>
            <w:tcW w:w="1700"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rPr>
                <w:sz w:val="20"/>
                <w:szCs w:val="20"/>
              </w:rPr>
            </w:pPr>
            <w:r w:rsidRPr="00D50E91">
              <w:rPr>
                <w:sz w:val="20"/>
                <w:szCs w:val="20"/>
              </w:rPr>
              <w:t xml:space="preserve"> </w:t>
            </w:r>
          </w:p>
        </w:tc>
        <w:tc>
          <w:tcPr>
            <w:tcW w:w="3400"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ind w:left="56" w:right="56"/>
              <w:jc w:val="center"/>
              <w:rPr>
                <w:sz w:val="20"/>
                <w:szCs w:val="20"/>
              </w:rPr>
            </w:pPr>
            <w:r w:rsidRPr="00D50E91">
              <w:rPr>
                <w:sz w:val="20"/>
                <w:szCs w:val="20"/>
              </w:rPr>
              <w:t xml:space="preserve"> I B</w:t>
            </w:r>
          </w:p>
        </w:tc>
      </w:tr>
      <w:tr w:rsidR="008F622E" w:rsidRPr="00D50E91" w:rsidTr="008F622E">
        <w:tc>
          <w:tcPr>
            <w:tcW w:w="557" w:type="dxa"/>
            <w:tcBorders>
              <w:top w:val="single" w:sz="4" w:space="0" w:color="auto"/>
              <w:left w:val="single" w:sz="4" w:space="0" w:color="auto"/>
              <w:bottom w:val="single" w:sz="4" w:space="0" w:color="auto"/>
              <w:right w:val="single" w:sz="4" w:space="0" w:color="auto"/>
            </w:tcBorders>
          </w:tcPr>
          <w:p w:rsidR="008F622E" w:rsidRPr="00D50E91" w:rsidRDefault="008F622E" w:rsidP="008F622E">
            <w:pPr>
              <w:autoSpaceDE w:val="0"/>
              <w:autoSpaceDN w:val="0"/>
              <w:adjustRightInd w:val="0"/>
              <w:ind w:left="56" w:right="56"/>
              <w:jc w:val="center"/>
              <w:rPr>
                <w:sz w:val="20"/>
                <w:szCs w:val="20"/>
              </w:rPr>
            </w:pPr>
            <w:r w:rsidRPr="00D50E91">
              <w:rPr>
                <w:sz w:val="20"/>
                <w:szCs w:val="20"/>
              </w:rPr>
              <w:t xml:space="preserve"> 14</w:t>
            </w:r>
          </w:p>
        </w:tc>
        <w:tc>
          <w:tcPr>
            <w:tcW w:w="2830"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ind w:left="56" w:right="56"/>
              <w:jc w:val="center"/>
              <w:rPr>
                <w:sz w:val="20"/>
                <w:szCs w:val="20"/>
              </w:rPr>
            </w:pPr>
            <w:r w:rsidRPr="00D50E91">
              <w:rPr>
                <w:sz w:val="20"/>
                <w:szCs w:val="20"/>
              </w:rPr>
              <w:t xml:space="preserve"> 17</w:t>
            </w:r>
          </w:p>
        </w:tc>
        <w:tc>
          <w:tcPr>
            <w:tcW w:w="1700"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rPr>
                <w:sz w:val="20"/>
                <w:szCs w:val="20"/>
              </w:rPr>
            </w:pPr>
            <w:r w:rsidRPr="00D50E91">
              <w:rPr>
                <w:sz w:val="20"/>
                <w:szCs w:val="20"/>
              </w:rPr>
              <w:t xml:space="preserve"> </w:t>
            </w:r>
          </w:p>
        </w:tc>
        <w:tc>
          <w:tcPr>
            <w:tcW w:w="1700"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rPr>
                <w:sz w:val="20"/>
                <w:szCs w:val="20"/>
              </w:rPr>
            </w:pPr>
            <w:r w:rsidRPr="00D50E91">
              <w:rPr>
                <w:sz w:val="20"/>
                <w:szCs w:val="20"/>
              </w:rPr>
              <w:t xml:space="preserve"> </w:t>
            </w:r>
          </w:p>
        </w:tc>
        <w:tc>
          <w:tcPr>
            <w:tcW w:w="3400"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ind w:left="56" w:right="56"/>
              <w:jc w:val="center"/>
              <w:rPr>
                <w:sz w:val="20"/>
                <w:szCs w:val="20"/>
              </w:rPr>
            </w:pPr>
            <w:r w:rsidRPr="00D50E91">
              <w:rPr>
                <w:sz w:val="20"/>
                <w:szCs w:val="20"/>
              </w:rPr>
              <w:t xml:space="preserve"> II B</w:t>
            </w:r>
          </w:p>
        </w:tc>
      </w:tr>
      <w:tr w:rsidR="008F622E" w:rsidRPr="00D50E91" w:rsidTr="008F622E">
        <w:tc>
          <w:tcPr>
            <w:tcW w:w="557" w:type="dxa"/>
            <w:tcBorders>
              <w:top w:val="single" w:sz="4" w:space="0" w:color="auto"/>
              <w:left w:val="single" w:sz="4" w:space="0" w:color="auto"/>
              <w:bottom w:val="single" w:sz="4" w:space="0" w:color="auto"/>
              <w:right w:val="single" w:sz="4" w:space="0" w:color="auto"/>
            </w:tcBorders>
          </w:tcPr>
          <w:p w:rsidR="008F622E" w:rsidRPr="00D50E91" w:rsidRDefault="008F622E" w:rsidP="008F622E">
            <w:pPr>
              <w:autoSpaceDE w:val="0"/>
              <w:autoSpaceDN w:val="0"/>
              <w:adjustRightInd w:val="0"/>
              <w:ind w:left="56" w:right="56"/>
              <w:jc w:val="center"/>
              <w:rPr>
                <w:sz w:val="20"/>
                <w:szCs w:val="20"/>
              </w:rPr>
            </w:pPr>
            <w:r w:rsidRPr="00D50E91">
              <w:rPr>
                <w:sz w:val="20"/>
                <w:szCs w:val="20"/>
              </w:rPr>
              <w:t xml:space="preserve"> 15</w:t>
            </w:r>
          </w:p>
        </w:tc>
        <w:tc>
          <w:tcPr>
            <w:tcW w:w="2830"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ind w:left="56" w:right="56"/>
              <w:jc w:val="center"/>
              <w:rPr>
                <w:sz w:val="20"/>
                <w:szCs w:val="20"/>
              </w:rPr>
            </w:pPr>
            <w:r w:rsidRPr="00D50E91">
              <w:rPr>
                <w:sz w:val="20"/>
                <w:szCs w:val="20"/>
              </w:rPr>
              <w:t xml:space="preserve"> 18</w:t>
            </w:r>
          </w:p>
        </w:tc>
        <w:tc>
          <w:tcPr>
            <w:tcW w:w="1700"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rPr>
                <w:sz w:val="20"/>
                <w:szCs w:val="20"/>
              </w:rPr>
            </w:pPr>
            <w:r w:rsidRPr="00D50E91">
              <w:rPr>
                <w:sz w:val="20"/>
                <w:szCs w:val="20"/>
              </w:rPr>
              <w:t xml:space="preserve"> </w:t>
            </w:r>
          </w:p>
        </w:tc>
        <w:tc>
          <w:tcPr>
            <w:tcW w:w="1700"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rPr>
                <w:sz w:val="20"/>
                <w:szCs w:val="20"/>
              </w:rPr>
            </w:pPr>
            <w:r w:rsidRPr="00D50E91">
              <w:rPr>
                <w:sz w:val="20"/>
                <w:szCs w:val="20"/>
              </w:rPr>
              <w:t xml:space="preserve"> </w:t>
            </w:r>
          </w:p>
        </w:tc>
        <w:tc>
          <w:tcPr>
            <w:tcW w:w="3400"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ind w:left="56" w:right="56"/>
              <w:jc w:val="center"/>
              <w:rPr>
                <w:sz w:val="20"/>
                <w:szCs w:val="20"/>
              </w:rPr>
            </w:pPr>
            <w:r w:rsidRPr="00D50E91">
              <w:rPr>
                <w:sz w:val="20"/>
                <w:szCs w:val="20"/>
              </w:rPr>
              <w:t xml:space="preserve"> III B</w:t>
            </w:r>
          </w:p>
        </w:tc>
      </w:tr>
      <w:tr w:rsidR="008F622E" w:rsidRPr="00D50E91" w:rsidTr="008F622E">
        <w:tc>
          <w:tcPr>
            <w:tcW w:w="557" w:type="dxa"/>
            <w:tcBorders>
              <w:top w:val="single" w:sz="4" w:space="0" w:color="auto"/>
              <w:left w:val="single" w:sz="4" w:space="0" w:color="auto"/>
              <w:bottom w:val="single" w:sz="4" w:space="0" w:color="auto"/>
              <w:right w:val="single" w:sz="4" w:space="0" w:color="auto"/>
            </w:tcBorders>
          </w:tcPr>
          <w:p w:rsidR="008F622E" w:rsidRPr="00D50E91" w:rsidRDefault="008F622E" w:rsidP="008F622E">
            <w:pPr>
              <w:autoSpaceDE w:val="0"/>
              <w:autoSpaceDN w:val="0"/>
              <w:adjustRightInd w:val="0"/>
              <w:ind w:left="56" w:right="56"/>
              <w:jc w:val="center"/>
              <w:rPr>
                <w:sz w:val="20"/>
                <w:szCs w:val="20"/>
              </w:rPr>
            </w:pPr>
            <w:r w:rsidRPr="00D50E91">
              <w:rPr>
                <w:sz w:val="20"/>
                <w:szCs w:val="20"/>
              </w:rPr>
              <w:t xml:space="preserve"> 16</w:t>
            </w:r>
          </w:p>
        </w:tc>
        <w:tc>
          <w:tcPr>
            <w:tcW w:w="2830"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ind w:left="56" w:right="56"/>
              <w:jc w:val="center"/>
              <w:rPr>
                <w:sz w:val="20"/>
                <w:szCs w:val="20"/>
              </w:rPr>
            </w:pPr>
            <w:r w:rsidRPr="00D50E91">
              <w:rPr>
                <w:sz w:val="20"/>
                <w:szCs w:val="20"/>
              </w:rPr>
              <w:t xml:space="preserve"> 19</w:t>
            </w:r>
          </w:p>
        </w:tc>
        <w:tc>
          <w:tcPr>
            <w:tcW w:w="1700"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rPr>
                <w:sz w:val="20"/>
                <w:szCs w:val="20"/>
              </w:rPr>
            </w:pPr>
            <w:r w:rsidRPr="00D50E91">
              <w:rPr>
                <w:sz w:val="20"/>
                <w:szCs w:val="20"/>
              </w:rPr>
              <w:t xml:space="preserve"> </w:t>
            </w:r>
          </w:p>
        </w:tc>
        <w:tc>
          <w:tcPr>
            <w:tcW w:w="1700"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rPr>
                <w:sz w:val="20"/>
                <w:szCs w:val="20"/>
              </w:rPr>
            </w:pPr>
            <w:r w:rsidRPr="00D50E91">
              <w:rPr>
                <w:sz w:val="20"/>
                <w:szCs w:val="20"/>
              </w:rPr>
              <w:t xml:space="preserve"> </w:t>
            </w:r>
          </w:p>
        </w:tc>
        <w:tc>
          <w:tcPr>
            <w:tcW w:w="3400"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ind w:left="56" w:right="56"/>
              <w:jc w:val="center"/>
              <w:rPr>
                <w:sz w:val="20"/>
                <w:szCs w:val="20"/>
              </w:rPr>
            </w:pPr>
            <w:r w:rsidRPr="00D50E91">
              <w:rPr>
                <w:sz w:val="20"/>
                <w:szCs w:val="20"/>
              </w:rPr>
              <w:t xml:space="preserve"> IV B</w:t>
            </w:r>
          </w:p>
        </w:tc>
      </w:tr>
    </w:tbl>
    <w:p w:rsidR="005B415B" w:rsidRPr="00D50E91" w:rsidRDefault="005B415B" w:rsidP="00595B18">
      <w:pPr>
        <w:jc w:val="both"/>
      </w:pPr>
    </w:p>
    <w:p w:rsidR="005B415B" w:rsidRPr="00D50E91" w:rsidRDefault="005B415B" w:rsidP="00595B18">
      <w:pPr>
        <w:jc w:val="both"/>
      </w:pPr>
    </w:p>
    <w:p w:rsidR="005B415B" w:rsidRPr="00D50E91" w:rsidRDefault="005B415B" w:rsidP="00595B18">
      <w:pPr>
        <w:jc w:val="both"/>
        <w:rPr>
          <w:b/>
          <w:sz w:val="20"/>
          <w:szCs w:val="20"/>
        </w:rPr>
      </w:pPr>
      <w:r w:rsidRPr="00D50E91">
        <w:rPr>
          <w:b/>
          <w:sz w:val="20"/>
          <w:szCs w:val="20"/>
        </w:rPr>
        <w:t>2. táblázat, a Beépített tűzjelző</w:t>
      </w:r>
      <w:r w:rsidR="003528A8">
        <w:rPr>
          <w:b/>
          <w:sz w:val="20"/>
          <w:szCs w:val="20"/>
        </w:rPr>
        <w:t>-</w:t>
      </w:r>
      <w:r w:rsidRPr="00D50E91">
        <w:rPr>
          <w:b/>
          <w:sz w:val="20"/>
          <w:szCs w:val="20"/>
        </w:rPr>
        <w:t xml:space="preserve"> és beépített oltóberendezés, tűzoltó készülék, felszerelés alcímhez</w:t>
      </w:r>
    </w:p>
    <w:p w:rsidR="008F622E" w:rsidRPr="00D50E91" w:rsidRDefault="008F622E" w:rsidP="00595B18">
      <w:pPr>
        <w:jc w:val="both"/>
      </w:pPr>
    </w:p>
    <w:tbl>
      <w:tblPr>
        <w:tblW w:w="0" w:type="auto"/>
        <w:tblInd w:w="5" w:type="dxa"/>
        <w:tblLayout w:type="fixed"/>
        <w:tblCellMar>
          <w:left w:w="0" w:type="dxa"/>
          <w:right w:w="0" w:type="dxa"/>
        </w:tblCellMar>
        <w:tblLook w:val="0000" w:firstRow="0" w:lastRow="0" w:firstColumn="0" w:lastColumn="0" w:noHBand="0" w:noVBand="0"/>
      </w:tblPr>
      <w:tblGrid>
        <w:gridCol w:w="557"/>
        <w:gridCol w:w="3680"/>
        <w:gridCol w:w="2268"/>
        <w:gridCol w:w="3686"/>
      </w:tblGrid>
      <w:tr w:rsidR="008F622E" w:rsidRPr="00D50E91" w:rsidTr="001B1A17">
        <w:tc>
          <w:tcPr>
            <w:tcW w:w="557" w:type="dxa"/>
            <w:tcBorders>
              <w:top w:val="single" w:sz="4" w:space="0" w:color="auto"/>
              <w:left w:val="single" w:sz="4" w:space="0" w:color="auto"/>
              <w:bottom w:val="single" w:sz="4" w:space="0" w:color="auto"/>
              <w:right w:val="single" w:sz="4" w:space="0" w:color="auto"/>
            </w:tcBorders>
            <w:shd w:val="clear" w:color="auto" w:fill="auto"/>
          </w:tcPr>
          <w:p w:rsidR="008F622E" w:rsidRPr="00D50E91" w:rsidRDefault="008F622E" w:rsidP="008F622E">
            <w:pPr>
              <w:autoSpaceDE w:val="0"/>
              <w:autoSpaceDN w:val="0"/>
              <w:adjustRightInd w:val="0"/>
              <w:ind w:left="56" w:right="56"/>
              <w:jc w:val="center"/>
              <w:rPr>
                <w:sz w:val="20"/>
                <w:szCs w:val="20"/>
              </w:rPr>
            </w:pPr>
          </w:p>
        </w:tc>
        <w:tc>
          <w:tcPr>
            <w:tcW w:w="3680" w:type="dxa"/>
            <w:tcBorders>
              <w:top w:val="single" w:sz="4" w:space="0" w:color="auto"/>
              <w:left w:val="single" w:sz="4" w:space="0" w:color="auto"/>
              <w:bottom w:val="single" w:sz="4" w:space="0" w:color="auto"/>
              <w:right w:val="single" w:sz="4" w:space="0" w:color="auto"/>
            </w:tcBorders>
            <w:shd w:val="clear" w:color="auto" w:fill="auto"/>
          </w:tcPr>
          <w:p w:rsidR="008F622E" w:rsidRPr="00D50E91" w:rsidRDefault="008F622E" w:rsidP="008F622E">
            <w:pPr>
              <w:autoSpaceDE w:val="0"/>
              <w:autoSpaceDN w:val="0"/>
              <w:adjustRightInd w:val="0"/>
              <w:ind w:left="56" w:right="56"/>
              <w:jc w:val="center"/>
              <w:rPr>
                <w:sz w:val="20"/>
                <w:szCs w:val="20"/>
              </w:rPr>
            </w:pPr>
            <w:r w:rsidRPr="00D50E91">
              <w:rPr>
                <w:sz w:val="20"/>
                <w:szCs w:val="20"/>
              </w:rPr>
              <w:t xml:space="preserve"> A</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F622E" w:rsidRPr="00D50E91" w:rsidRDefault="008F622E" w:rsidP="008F622E">
            <w:pPr>
              <w:autoSpaceDE w:val="0"/>
              <w:autoSpaceDN w:val="0"/>
              <w:adjustRightInd w:val="0"/>
              <w:ind w:left="56" w:right="56"/>
              <w:jc w:val="center"/>
              <w:rPr>
                <w:sz w:val="20"/>
                <w:szCs w:val="20"/>
              </w:rPr>
            </w:pPr>
            <w:r w:rsidRPr="00D50E91">
              <w:rPr>
                <w:sz w:val="20"/>
                <w:szCs w:val="20"/>
              </w:rPr>
              <w:t xml:space="preserve"> B</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8F622E" w:rsidRPr="00D50E91" w:rsidRDefault="008F622E" w:rsidP="008F622E">
            <w:pPr>
              <w:autoSpaceDE w:val="0"/>
              <w:autoSpaceDN w:val="0"/>
              <w:adjustRightInd w:val="0"/>
              <w:ind w:left="56" w:right="56"/>
              <w:jc w:val="center"/>
              <w:rPr>
                <w:sz w:val="20"/>
                <w:szCs w:val="20"/>
              </w:rPr>
            </w:pPr>
            <w:r w:rsidRPr="00D50E91">
              <w:rPr>
                <w:sz w:val="20"/>
                <w:szCs w:val="20"/>
              </w:rPr>
              <w:t xml:space="preserve"> C</w:t>
            </w:r>
          </w:p>
        </w:tc>
      </w:tr>
      <w:tr w:rsidR="008F622E" w:rsidRPr="00D50E91" w:rsidTr="008F622E">
        <w:tc>
          <w:tcPr>
            <w:tcW w:w="557"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ind w:left="56" w:right="56"/>
              <w:jc w:val="center"/>
              <w:rPr>
                <w:sz w:val="20"/>
                <w:szCs w:val="20"/>
              </w:rPr>
            </w:pPr>
            <w:r w:rsidRPr="00D50E91">
              <w:rPr>
                <w:b/>
                <w:sz w:val="20"/>
                <w:szCs w:val="20"/>
              </w:rPr>
              <w:t xml:space="preserve"> </w:t>
            </w:r>
            <w:r w:rsidRPr="00D50E91">
              <w:rPr>
                <w:sz w:val="20"/>
                <w:szCs w:val="20"/>
              </w:rPr>
              <w:t>1</w:t>
            </w:r>
          </w:p>
        </w:tc>
        <w:tc>
          <w:tcPr>
            <w:tcW w:w="3680"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ind w:left="56" w:right="56"/>
              <w:jc w:val="center"/>
              <w:rPr>
                <w:b/>
                <w:sz w:val="20"/>
                <w:szCs w:val="20"/>
              </w:rPr>
            </w:pPr>
            <w:r w:rsidRPr="00D50E91">
              <w:rPr>
                <w:b/>
                <w:sz w:val="20"/>
                <w:szCs w:val="20"/>
              </w:rPr>
              <w:t>Önálló rendeltetési egység vagy szabadtér alapterületig m2</w:t>
            </w:r>
          </w:p>
        </w:tc>
        <w:tc>
          <w:tcPr>
            <w:tcW w:w="2268"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ind w:left="56" w:right="56"/>
              <w:jc w:val="center"/>
              <w:rPr>
                <w:b/>
                <w:sz w:val="20"/>
                <w:szCs w:val="20"/>
              </w:rPr>
            </w:pPr>
            <w:r w:rsidRPr="00D50E91">
              <w:rPr>
                <w:b/>
                <w:sz w:val="20"/>
                <w:szCs w:val="20"/>
              </w:rPr>
              <w:t xml:space="preserve"> Általános esetben</w:t>
            </w:r>
          </w:p>
          <w:p w:rsidR="008F622E" w:rsidRPr="00D50E91" w:rsidRDefault="008F622E" w:rsidP="00C65880">
            <w:pPr>
              <w:autoSpaceDE w:val="0"/>
              <w:autoSpaceDN w:val="0"/>
              <w:adjustRightInd w:val="0"/>
              <w:ind w:left="56" w:right="56"/>
              <w:jc w:val="center"/>
              <w:rPr>
                <w:b/>
                <w:sz w:val="20"/>
                <w:szCs w:val="20"/>
              </w:rPr>
            </w:pPr>
            <w:r w:rsidRPr="00D50E91">
              <w:rPr>
                <w:b/>
                <w:sz w:val="20"/>
                <w:szCs w:val="20"/>
              </w:rPr>
              <w:t>OE</w:t>
            </w:r>
          </w:p>
        </w:tc>
        <w:tc>
          <w:tcPr>
            <w:tcW w:w="3686"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ind w:left="56" w:right="56"/>
              <w:jc w:val="center"/>
              <w:rPr>
                <w:b/>
                <w:sz w:val="20"/>
                <w:szCs w:val="20"/>
              </w:rPr>
            </w:pPr>
            <w:r w:rsidRPr="00D50E91">
              <w:rPr>
                <w:b/>
                <w:sz w:val="20"/>
                <w:szCs w:val="20"/>
              </w:rPr>
              <w:t xml:space="preserve"> Fokozottan tűz</w:t>
            </w:r>
            <w:r w:rsidR="003528A8">
              <w:rPr>
                <w:b/>
                <w:sz w:val="20"/>
                <w:szCs w:val="20"/>
              </w:rPr>
              <w:t>-</w:t>
            </w:r>
            <w:r w:rsidRPr="00D50E91">
              <w:rPr>
                <w:b/>
                <w:sz w:val="20"/>
                <w:szCs w:val="20"/>
              </w:rPr>
              <w:t xml:space="preserve"> vagy robbanásveszélyes anyag tárolása esetén</w:t>
            </w:r>
          </w:p>
          <w:p w:rsidR="008F622E" w:rsidRPr="00D50E91" w:rsidRDefault="008F622E" w:rsidP="00C65880">
            <w:pPr>
              <w:autoSpaceDE w:val="0"/>
              <w:autoSpaceDN w:val="0"/>
              <w:adjustRightInd w:val="0"/>
              <w:ind w:left="56" w:right="56"/>
              <w:jc w:val="center"/>
              <w:rPr>
                <w:b/>
                <w:sz w:val="20"/>
                <w:szCs w:val="20"/>
              </w:rPr>
            </w:pPr>
            <w:r w:rsidRPr="00D50E91">
              <w:rPr>
                <w:b/>
                <w:sz w:val="20"/>
                <w:szCs w:val="20"/>
              </w:rPr>
              <w:t>OE</w:t>
            </w:r>
          </w:p>
        </w:tc>
      </w:tr>
      <w:tr w:rsidR="008F622E" w:rsidRPr="00D50E91" w:rsidTr="008F622E">
        <w:tc>
          <w:tcPr>
            <w:tcW w:w="557"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ind w:left="56" w:right="56"/>
              <w:jc w:val="center"/>
              <w:rPr>
                <w:sz w:val="20"/>
                <w:szCs w:val="20"/>
              </w:rPr>
            </w:pPr>
            <w:r w:rsidRPr="00D50E91">
              <w:rPr>
                <w:sz w:val="20"/>
                <w:szCs w:val="20"/>
              </w:rPr>
              <w:t xml:space="preserve"> 2</w:t>
            </w:r>
          </w:p>
        </w:tc>
        <w:tc>
          <w:tcPr>
            <w:tcW w:w="3680"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ind w:left="56" w:right="56"/>
              <w:jc w:val="center"/>
              <w:rPr>
                <w:sz w:val="20"/>
                <w:szCs w:val="20"/>
              </w:rPr>
            </w:pPr>
            <w:r w:rsidRPr="00D50E91">
              <w:rPr>
                <w:sz w:val="20"/>
                <w:szCs w:val="20"/>
              </w:rPr>
              <w:t xml:space="preserve"> 50</w:t>
            </w:r>
          </w:p>
        </w:tc>
        <w:tc>
          <w:tcPr>
            <w:tcW w:w="2268"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ind w:left="56" w:right="56"/>
              <w:jc w:val="center"/>
              <w:rPr>
                <w:sz w:val="20"/>
                <w:szCs w:val="20"/>
              </w:rPr>
            </w:pPr>
            <w:r w:rsidRPr="00D50E91">
              <w:rPr>
                <w:sz w:val="20"/>
                <w:szCs w:val="20"/>
              </w:rPr>
              <w:t xml:space="preserve"> 2</w:t>
            </w:r>
          </w:p>
        </w:tc>
        <w:tc>
          <w:tcPr>
            <w:tcW w:w="3686"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ind w:left="56" w:right="56"/>
              <w:jc w:val="center"/>
              <w:rPr>
                <w:sz w:val="20"/>
                <w:szCs w:val="20"/>
              </w:rPr>
            </w:pPr>
            <w:r w:rsidRPr="00D50E91">
              <w:rPr>
                <w:sz w:val="20"/>
                <w:szCs w:val="20"/>
              </w:rPr>
              <w:t xml:space="preserve"> 6</w:t>
            </w:r>
          </w:p>
        </w:tc>
      </w:tr>
      <w:tr w:rsidR="008F622E" w:rsidRPr="00D50E91" w:rsidTr="008F622E">
        <w:tc>
          <w:tcPr>
            <w:tcW w:w="557"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ind w:left="56" w:right="56"/>
              <w:jc w:val="center"/>
              <w:rPr>
                <w:sz w:val="20"/>
                <w:szCs w:val="20"/>
              </w:rPr>
            </w:pPr>
            <w:r w:rsidRPr="00D50E91">
              <w:rPr>
                <w:sz w:val="20"/>
                <w:szCs w:val="20"/>
              </w:rPr>
              <w:t xml:space="preserve"> 3</w:t>
            </w:r>
          </w:p>
        </w:tc>
        <w:tc>
          <w:tcPr>
            <w:tcW w:w="3680"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ind w:left="56" w:right="56"/>
              <w:jc w:val="center"/>
              <w:rPr>
                <w:sz w:val="20"/>
                <w:szCs w:val="20"/>
              </w:rPr>
            </w:pPr>
            <w:r w:rsidRPr="00D50E91">
              <w:rPr>
                <w:sz w:val="20"/>
                <w:szCs w:val="20"/>
              </w:rPr>
              <w:t xml:space="preserve"> 100</w:t>
            </w:r>
          </w:p>
        </w:tc>
        <w:tc>
          <w:tcPr>
            <w:tcW w:w="2268"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ind w:left="56" w:right="56"/>
              <w:jc w:val="center"/>
              <w:rPr>
                <w:sz w:val="20"/>
                <w:szCs w:val="20"/>
              </w:rPr>
            </w:pPr>
            <w:r w:rsidRPr="00D50E91">
              <w:rPr>
                <w:sz w:val="20"/>
                <w:szCs w:val="20"/>
              </w:rPr>
              <w:t xml:space="preserve"> 3</w:t>
            </w:r>
          </w:p>
        </w:tc>
        <w:tc>
          <w:tcPr>
            <w:tcW w:w="3686"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ind w:left="56" w:right="56"/>
              <w:jc w:val="center"/>
              <w:rPr>
                <w:sz w:val="20"/>
                <w:szCs w:val="20"/>
              </w:rPr>
            </w:pPr>
            <w:r w:rsidRPr="00D50E91">
              <w:rPr>
                <w:sz w:val="20"/>
                <w:szCs w:val="20"/>
              </w:rPr>
              <w:t xml:space="preserve"> 9</w:t>
            </w:r>
          </w:p>
        </w:tc>
      </w:tr>
      <w:tr w:rsidR="008F622E" w:rsidRPr="00D50E91" w:rsidTr="008F622E">
        <w:tc>
          <w:tcPr>
            <w:tcW w:w="557"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ind w:left="56" w:right="56"/>
              <w:jc w:val="center"/>
              <w:rPr>
                <w:sz w:val="20"/>
                <w:szCs w:val="20"/>
              </w:rPr>
            </w:pPr>
            <w:r w:rsidRPr="00D50E91">
              <w:rPr>
                <w:sz w:val="20"/>
                <w:szCs w:val="20"/>
              </w:rPr>
              <w:t xml:space="preserve"> 4</w:t>
            </w:r>
          </w:p>
        </w:tc>
        <w:tc>
          <w:tcPr>
            <w:tcW w:w="3680"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ind w:left="56" w:right="56"/>
              <w:jc w:val="center"/>
              <w:rPr>
                <w:sz w:val="20"/>
                <w:szCs w:val="20"/>
              </w:rPr>
            </w:pPr>
            <w:r w:rsidRPr="00D50E91">
              <w:rPr>
                <w:sz w:val="20"/>
                <w:szCs w:val="20"/>
              </w:rPr>
              <w:t xml:space="preserve"> 200</w:t>
            </w:r>
          </w:p>
        </w:tc>
        <w:tc>
          <w:tcPr>
            <w:tcW w:w="2268"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ind w:left="56" w:right="56"/>
              <w:jc w:val="center"/>
              <w:rPr>
                <w:sz w:val="20"/>
                <w:szCs w:val="20"/>
              </w:rPr>
            </w:pPr>
            <w:r w:rsidRPr="00D50E91">
              <w:rPr>
                <w:sz w:val="20"/>
                <w:szCs w:val="20"/>
              </w:rPr>
              <w:t xml:space="preserve"> 4</w:t>
            </w:r>
          </w:p>
        </w:tc>
        <w:tc>
          <w:tcPr>
            <w:tcW w:w="3686"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ind w:left="56" w:right="56"/>
              <w:jc w:val="center"/>
              <w:rPr>
                <w:sz w:val="20"/>
                <w:szCs w:val="20"/>
              </w:rPr>
            </w:pPr>
            <w:r w:rsidRPr="00D50E91">
              <w:rPr>
                <w:sz w:val="20"/>
                <w:szCs w:val="20"/>
              </w:rPr>
              <w:t xml:space="preserve"> 12</w:t>
            </w:r>
          </w:p>
        </w:tc>
      </w:tr>
      <w:tr w:rsidR="008F622E" w:rsidRPr="00D50E91" w:rsidTr="008F622E">
        <w:tc>
          <w:tcPr>
            <w:tcW w:w="557"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ind w:left="56" w:right="56"/>
              <w:jc w:val="center"/>
              <w:rPr>
                <w:sz w:val="20"/>
                <w:szCs w:val="20"/>
              </w:rPr>
            </w:pPr>
            <w:r w:rsidRPr="00D50E91">
              <w:rPr>
                <w:sz w:val="20"/>
                <w:szCs w:val="20"/>
              </w:rPr>
              <w:t xml:space="preserve"> 5</w:t>
            </w:r>
          </w:p>
        </w:tc>
        <w:tc>
          <w:tcPr>
            <w:tcW w:w="3680"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ind w:left="56" w:right="56"/>
              <w:jc w:val="center"/>
              <w:rPr>
                <w:sz w:val="20"/>
                <w:szCs w:val="20"/>
              </w:rPr>
            </w:pPr>
            <w:r w:rsidRPr="00D50E91">
              <w:rPr>
                <w:sz w:val="20"/>
                <w:szCs w:val="20"/>
              </w:rPr>
              <w:t xml:space="preserve"> 300</w:t>
            </w:r>
          </w:p>
        </w:tc>
        <w:tc>
          <w:tcPr>
            <w:tcW w:w="2268"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ind w:left="56" w:right="56"/>
              <w:jc w:val="center"/>
              <w:rPr>
                <w:sz w:val="20"/>
                <w:szCs w:val="20"/>
              </w:rPr>
            </w:pPr>
            <w:r w:rsidRPr="00D50E91">
              <w:rPr>
                <w:sz w:val="20"/>
                <w:szCs w:val="20"/>
              </w:rPr>
              <w:t xml:space="preserve"> 5</w:t>
            </w:r>
          </w:p>
        </w:tc>
        <w:tc>
          <w:tcPr>
            <w:tcW w:w="3686"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ind w:left="56" w:right="56"/>
              <w:jc w:val="center"/>
              <w:rPr>
                <w:sz w:val="20"/>
                <w:szCs w:val="20"/>
              </w:rPr>
            </w:pPr>
            <w:r w:rsidRPr="00D50E91">
              <w:rPr>
                <w:sz w:val="20"/>
                <w:szCs w:val="20"/>
              </w:rPr>
              <w:t xml:space="preserve"> 15</w:t>
            </w:r>
          </w:p>
        </w:tc>
      </w:tr>
      <w:tr w:rsidR="008F622E" w:rsidRPr="00D50E91" w:rsidTr="008F622E">
        <w:tc>
          <w:tcPr>
            <w:tcW w:w="557"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ind w:left="56" w:right="56"/>
              <w:jc w:val="center"/>
              <w:rPr>
                <w:sz w:val="20"/>
                <w:szCs w:val="20"/>
              </w:rPr>
            </w:pPr>
            <w:r w:rsidRPr="00D50E91">
              <w:rPr>
                <w:sz w:val="20"/>
                <w:szCs w:val="20"/>
              </w:rPr>
              <w:t xml:space="preserve"> 6</w:t>
            </w:r>
          </w:p>
        </w:tc>
        <w:tc>
          <w:tcPr>
            <w:tcW w:w="3680"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ind w:left="56" w:right="56"/>
              <w:jc w:val="center"/>
              <w:rPr>
                <w:sz w:val="20"/>
                <w:szCs w:val="20"/>
              </w:rPr>
            </w:pPr>
            <w:r w:rsidRPr="00D50E91">
              <w:rPr>
                <w:sz w:val="20"/>
                <w:szCs w:val="20"/>
              </w:rPr>
              <w:t xml:space="preserve"> 400</w:t>
            </w:r>
          </w:p>
        </w:tc>
        <w:tc>
          <w:tcPr>
            <w:tcW w:w="2268"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ind w:left="56" w:right="56"/>
              <w:jc w:val="center"/>
              <w:rPr>
                <w:sz w:val="20"/>
                <w:szCs w:val="20"/>
              </w:rPr>
            </w:pPr>
            <w:r w:rsidRPr="00D50E91">
              <w:rPr>
                <w:sz w:val="20"/>
                <w:szCs w:val="20"/>
              </w:rPr>
              <w:t xml:space="preserve"> 6</w:t>
            </w:r>
          </w:p>
        </w:tc>
        <w:tc>
          <w:tcPr>
            <w:tcW w:w="3686"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ind w:left="56" w:right="56"/>
              <w:jc w:val="center"/>
              <w:rPr>
                <w:sz w:val="20"/>
                <w:szCs w:val="20"/>
              </w:rPr>
            </w:pPr>
            <w:r w:rsidRPr="00D50E91">
              <w:rPr>
                <w:sz w:val="20"/>
                <w:szCs w:val="20"/>
              </w:rPr>
              <w:t xml:space="preserve"> 18</w:t>
            </w:r>
          </w:p>
        </w:tc>
      </w:tr>
      <w:tr w:rsidR="008F622E" w:rsidRPr="00D50E91" w:rsidTr="008F622E">
        <w:tc>
          <w:tcPr>
            <w:tcW w:w="557"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ind w:left="56" w:right="56"/>
              <w:jc w:val="center"/>
              <w:rPr>
                <w:sz w:val="20"/>
                <w:szCs w:val="20"/>
              </w:rPr>
            </w:pPr>
            <w:r w:rsidRPr="00D50E91">
              <w:rPr>
                <w:sz w:val="20"/>
                <w:szCs w:val="20"/>
              </w:rPr>
              <w:t xml:space="preserve"> 7</w:t>
            </w:r>
          </w:p>
        </w:tc>
        <w:tc>
          <w:tcPr>
            <w:tcW w:w="3680"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ind w:left="56" w:right="56"/>
              <w:jc w:val="center"/>
              <w:rPr>
                <w:sz w:val="20"/>
                <w:szCs w:val="20"/>
              </w:rPr>
            </w:pPr>
            <w:r w:rsidRPr="00D50E91">
              <w:rPr>
                <w:sz w:val="20"/>
                <w:szCs w:val="20"/>
              </w:rPr>
              <w:t xml:space="preserve"> 500</w:t>
            </w:r>
          </w:p>
        </w:tc>
        <w:tc>
          <w:tcPr>
            <w:tcW w:w="2268"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ind w:left="56" w:right="56"/>
              <w:jc w:val="center"/>
              <w:rPr>
                <w:sz w:val="20"/>
                <w:szCs w:val="20"/>
              </w:rPr>
            </w:pPr>
            <w:r w:rsidRPr="00D50E91">
              <w:rPr>
                <w:sz w:val="20"/>
                <w:szCs w:val="20"/>
              </w:rPr>
              <w:t xml:space="preserve"> 7</w:t>
            </w:r>
          </w:p>
        </w:tc>
        <w:tc>
          <w:tcPr>
            <w:tcW w:w="3686"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ind w:left="56" w:right="56"/>
              <w:jc w:val="center"/>
              <w:rPr>
                <w:sz w:val="20"/>
                <w:szCs w:val="20"/>
              </w:rPr>
            </w:pPr>
            <w:r w:rsidRPr="00D50E91">
              <w:rPr>
                <w:sz w:val="20"/>
                <w:szCs w:val="20"/>
              </w:rPr>
              <w:t xml:space="preserve"> 21</w:t>
            </w:r>
          </w:p>
        </w:tc>
      </w:tr>
      <w:tr w:rsidR="008F622E" w:rsidRPr="00D50E91" w:rsidTr="008F622E">
        <w:tc>
          <w:tcPr>
            <w:tcW w:w="557"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ind w:left="56" w:right="56"/>
              <w:jc w:val="center"/>
              <w:rPr>
                <w:sz w:val="20"/>
                <w:szCs w:val="20"/>
              </w:rPr>
            </w:pPr>
            <w:r w:rsidRPr="00D50E91">
              <w:rPr>
                <w:sz w:val="20"/>
                <w:szCs w:val="20"/>
              </w:rPr>
              <w:lastRenderedPageBreak/>
              <w:t xml:space="preserve"> 8</w:t>
            </w:r>
          </w:p>
        </w:tc>
        <w:tc>
          <w:tcPr>
            <w:tcW w:w="3680"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ind w:left="56" w:right="56"/>
              <w:jc w:val="center"/>
              <w:rPr>
                <w:sz w:val="20"/>
                <w:szCs w:val="20"/>
              </w:rPr>
            </w:pPr>
            <w:r w:rsidRPr="00D50E91">
              <w:rPr>
                <w:sz w:val="20"/>
                <w:szCs w:val="20"/>
              </w:rPr>
              <w:t xml:space="preserve"> 600</w:t>
            </w:r>
          </w:p>
        </w:tc>
        <w:tc>
          <w:tcPr>
            <w:tcW w:w="2268"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ind w:left="56" w:right="56"/>
              <w:jc w:val="center"/>
              <w:rPr>
                <w:sz w:val="20"/>
                <w:szCs w:val="20"/>
              </w:rPr>
            </w:pPr>
            <w:r w:rsidRPr="00D50E91">
              <w:rPr>
                <w:sz w:val="20"/>
                <w:szCs w:val="20"/>
              </w:rPr>
              <w:t xml:space="preserve"> 8</w:t>
            </w:r>
          </w:p>
        </w:tc>
        <w:tc>
          <w:tcPr>
            <w:tcW w:w="3686"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ind w:left="56" w:right="56"/>
              <w:jc w:val="center"/>
              <w:rPr>
                <w:sz w:val="20"/>
                <w:szCs w:val="20"/>
              </w:rPr>
            </w:pPr>
            <w:r w:rsidRPr="00D50E91">
              <w:rPr>
                <w:sz w:val="20"/>
                <w:szCs w:val="20"/>
              </w:rPr>
              <w:t xml:space="preserve"> 24</w:t>
            </w:r>
          </w:p>
        </w:tc>
      </w:tr>
      <w:tr w:rsidR="008F622E" w:rsidRPr="00D50E91" w:rsidTr="008F622E">
        <w:tc>
          <w:tcPr>
            <w:tcW w:w="557"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ind w:left="56" w:right="56"/>
              <w:jc w:val="center"/>
              <w:rPr>
                <w:sz w:val="20"/>
                <w:szCs w:val="20"/>
              </w:rPr>
            </w:pPr>
            <w:r w:rsidRPr="00D50E91">
              <w:rPr>
                <w:sz w:val="20"/>
                <w:szCs w:val="20"/>
              </w:rPr>
              <w:t xml:space="preserve"> 9</w:t>
            </w:r>
          </w:p>
        </w:tc>
        <w:tc>
          <w:tcPr>
            <w:tcW w:w="3680"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ind w:left="56" w:right="56"/>
              <w:jc w:val="center"/>
              <w:rPr>
                <w:sz w:val="20"/>
                <w:szCs w:val="20"/>
              </w:rPr>
            </w:pPr>
            <w:r w:rsidRPr="00D50E91">
              <w:rPr>
                <w:sz w:val="20"/>
                <w:szCs w:val="20"/>
              </w:rPr>
              <w:t xml:space="preserve"> 700</w:t>
            </w:r>
          </w:p>
        </w:tc>
        <w:tc>
          <w:tcPr>
            <w:tcW w:w="2268"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ind w:left="56" w:right="56"/>
              <w:jc w:val="center"/>
              <w:rPr>
                <w:sz w:val="20"/>
                <w:szCs w:val="20"/>
              </w:rPr>
            </w:pPr>
            <w:r w:rsidRPr="00D50E91">
              <w:rPr>
                <w:sz w:val="20"/>
                <w:szCs w:val="20"/>
              </w:rPr>
              <w:t xml:space="preserve"> 9</w:t>
            </w:r>
          </w:p>
        </w:tc>
        <w:tc>
          <w:tcPr>
            <w:tcW w:w="3686"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ind w:left="56" w:right="56"/>
              <w:jc w:val="center"/>
              <w:rPr>
                <w:sz w:val="20"/>
                <w:szCs w:val="20"/>
              </w:rPr>
            </w:pPr>
            <w:r w:rsidRPr="00D50E91">
              <w:rPr>
                <w:sz w:val="20"/>
                <w:szCs w:val="20"/>
              </w:rPr>
              <w:t xml:space="preserve"> 27</w:t>
            </w:r>
          </w:p>
        </w:tc>
      </w:tr>
      <w:tr w:rsidR="008F622E" w:rsidRPr="00D50E91" w:rsidTr="008F622E">
        <w:tc>
          <w:tcPr>
            <w:tcW w:w="557"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ind w:left="56" w:right="56"/>
              <w:jc w:val="center"/>
              <w:rPr>
                <w:sz w:val="20"/>
                <w:szCs w:val="20"/>
              </w:rPr>
            </w:pPr>
            <w:r w:rsidRPr="00D50E91">
              <w:rPr>
                <w:sz w:val="20"/>
                <w:szCs w:val="20"/>
              </w:rPr>
              <w:t xml:space="preserve"> 10</w:t>
            </w:r>
          </w:p>
        </w:tc>
        <w:tc>
          <w:tcPr>
            <w:tcW w:w="3680"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ind w:left="56" w:right="56"/>
              <w:jc w:val="center"/>
              <w:rPr>
                <w:sz w:val="20"/>
                <w:szCs w:val="20"/>
              </w:rPr>
            </w:pPr>
            <w:r w:rsidRPr="00D50E91">
              <w:rPr>
                <w:sz w:val="20"/>
                <w:szCs w:val="20"/>
              </w:rPr>
              <w:t xml:space="preserve"> 800</w:t>
            </w:r>
          </w:p>
        </w:tc>
        <w:tc>
          <w:tcPr>
            <w:tcW w:w="2268"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ind w:left="56" w:right="56"/>
              <w:jc w:val="center"/>
              <w:rPr>
                <w:sz w:val="20"/>
                <w:szCs w:val="20"/>
              </w:rPr>
            </w:pPr>
            <w:r w:rsidRPr="00D50E91">
              <w:rPr>
                <w:sz w:val="20"/>
                <w:szCs w:val="20"/>
              </w:rPr>
              <w:t xml:space="preserve"> 10</w:t>
            </w:r>
          </w:p>
        </w:tc>
        <w:tc>
          <w:tcPr>
            <w:tcW w:w="3686"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ind w:left="56" w:right="56"/>
              <w:jc w:val="center"/>
              <w:rPr>
                <w:sz w:val="20"/>
                <w:szCs w:val="20"/>
              </w:rPr>
            </w:pPr>
            <w:r w:rsidRPr="00D50E91">
              <w:rPr>
                <w:sz w:val="20"/>
                <w:szCs w:val="20"/>
              </w:rPr>
              <w:t xml:space="preserve"> 30</w:t>
            </w:r>
          </w:p>
        </w:tc>
      </w:tr>
      <w:tr w:rsidR="008F622E" w:rsidRPr="00D50E91" w:rsidTr="008F622E">
        <w:tc>
          <w:tcPr>
            <w:tcW w:w="557"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ind w:left="56" w:right="56"/>
              <w:jc w:val="center"/>
              <w:rPr>
                <w:sz w:val="20"/>
                <w:szCs w:val="20"/>
              </w:rPr>
            </w:pPr>
            <w:r w:rsidRPr="00D50E91">
              <w:rPr>
                <w:sz w:val="20"/>
                <w:szCs w:val="20"/>
              </w:rPr>
              <w:t xml:space="preserve"> 11</w:t>
            </w:r>
          </w:p>
        </w:tc>
        <w:tc>
          <w:tcPr>
            <w:tcW w:w="3680"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ind w:left="56" w:right="56"/>
              <w:jc w:val="center"/>
              <w:rPr>
                <w:sz w:val="20"/>
                <w:szCs w:val="20"/>
              </w:rPr>
            </w:pPr>
            <w:r w:rsidRPr="00D50E91">
              <w:rPr>
                <w:sz w:val="20"/>
                <w:szCs w:val="20"/>
              </w:rPr>
              <w:t xml:space="preserve"> 900</w:t>
            </w:r>
          </w:p>
        </w:tc>
        <w:tc>
          <w:tcPr>
            <w:tcW w:w="2268"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ind w:left="56" w:right="56"/>
              <w:jc w:val="center"/>
              <w:rPr>
                <w:sz w:val="20"/>
                <w:szCs w:val="20"/>
              </w:rPr>
            </w:pPr>
            <w:r w:rsidRPr="00D50E91">
              <w:rPr>
                <w:sz w:val="20"/>
                <w:szCs w:val="20"/>
              </w:rPr>
              <w:t xml:space="preserve"> 11</w:t>
            </w:r>
          </w:p>
        </w:tc>
        <w:tc>
          <w:tcPr>
            <w:tcW w:w="3686"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ind w:left="56" w:right="56"/>
              <w:jc w:val="center"/>
              <w:rPr>
                <w:sz w:val="20"/>
                <w:szCs w:val="20"/>
              </w:rPr>
            </w:pPr>
            <w:r w:rsidRPr="00D50E91">
              <w:rPr>
                <w:sz w:val="20"/>
                <w:szCs w:val="20"/>
              </w:rPr>
              <w:t xml:space="preserve"> 33</w:t>
            </w:r>
          </w:p>
        </w:tc>
      </w:tr>
      <w:tr w:rsidR="008F622E" w:rsidRPr="00D50E91" w:rsidTr="008F622E">
        <w:tc>
          <w:tcPr>
            <w:tcW w:w="557"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ind w:left="56" w:right="56"/>
              <w:jc w:val="center"/>
              <w:rPr>
                <w:sz w:val="20"/>
                <w:szCs w:val="20"/>
              </w:rPr>
            </w:pPr>
            <w:r w:rsidRPr="00D50E91">
              <w:rPr>
                <w:sz w:val="20"/>
                <w:szCs w:val="20"/>
              </w:rPr>
              <w:t xml:space="preserve"> 12</w:t>
            </w:r>
          </w:p>
        </w:tc>
        <w:tc>
          <w:tcPr>
            <w:tcW w:w="3680"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ind w:left="56" w:right="56"/>
              <w:jc w:val="center"/>
              <w:rPr>
                <w:sz w:val="20"/>
                <w:szCs w:val="20"/>
              </w:rPr>
            </w:pPr>
            <w:r w:rsidRPr="00D50E91">
              <w:rPr>
                <w:sz w:val="20"/>
                <w:szCs w:val="20"/>
              </w:rPr>
              <w:t xml:space="preserve"> 1000</w:t>
            </w:r>
          </w:p>
        </w:tc>
        <w:tc>
          <w:tcPr>
            <w:tcW w:w="2268"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ind w:left="56" w:right="56"/>
              <w:jc w:val="center"/>
              <w:rPr>
                <w:sz w:val="20"/>
                <w:szCs w:val="20"/>
              </w:rPr>
            </w:pPr>
            <w:r w:rsidRPr="00D50E91">
              <w:rPr>
                <w:sz w:val="20"/>
                <w:szCs w:val="20"/>
              </w:rPr>
              <w:t xml:space="preserve"> 12</w:t>
            </w:r>
          </w:p>
        </w:tc>
        <w:tc>
          <w:tcPr>
            <w:tcW w:w="3686"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ind w:left="56" w:right="56"/>
              <w:jc w:val="center"/>
              <w:rPr>
                <w:sz w:val="20"/>
                <w:szCs w:val="20"/>
              </w:rPr>
            </w:pPr>
            <w:r w:rsidRPr="00D50E91">
              <w:rPr>
                <w:sz w:val="20"/>
                <w:szCs w:val="20"/>
              </w:rPr>
              <w:t xml:space="preserve"> 36</w:t>
            </w:r>
          </w:p>
        </w:tc>
      </w:tr>
      <w:tr w:rsidR="008F622E" w:rsidRPr="00D50E91" w:rsidTr="008F622E">
        <w:tc>
          <w:tcPr>
            <w:tcW w:w="557"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ind w:left="56" w:right="56"/>
              <w:jc w:val="center"/>
              <w:rPr>
                <w:sz w:val="20"/>
                <w:szCs w:val="20"/>
              </w:rPr>
            </w:pPr>
            <w:r w:rsidRPr="00D50E91">
              <w:rPr>
                <w:sz w:val="20"/>
                <w:szCs w:val="20"/>
              </w:rPr>
              <w:t xml:space="preserve"> 13</w:t>
            </w:r>
          </w:p>
        </w:tc>
        <w:tc>
          <w:tcPr>
            <w:tcW w:w="3680"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ind w:left="56" w:right="56"/>
              <w:jc w:val="center"/>
              <w:rPr>
                <w:sz w:val="20"/>
                <w:szCs w:val="20"/>
              </w:rPr>
            </w:pPr>
            <w:r w:rsidRPr="00D50E91">
              <w:rPr>
                <w:sz w:val="20"/>
                <w:szCs w:val="20"/>
              </w:rPr>
              <w:t xml:space="preserve"> minden további 250</w:t>
            </w:r>
          </w:p>
        </w:tc>
        <w:tc>
          <w:tcPr>
            <w:tcW w:w="2268"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ind w:left="56" w:right="56"/>
              <w:jc w:val="center"/>
              <w:rPr>
                <w:sz w:val="20"/>
                <w:szCs w:val="20"/>
              </w:rPr>
            </w:pPr>
            <w:r w:rsidRPr="00D50E91">
              <w:rPr>
                <w:sz w:val="20"/>
                <w:szCs w:val="20"/>
              </w:rPr>
              <w:t xml:space="preserve"> +2</w:t>
            </w:r>
          </w:p>
        </w:tc>
        <w:tc>
          <w:tcPr>
            <w:tcW w:w="3686" w:type="dxa"/>
            <w:tcBorders>
              <w:top w:val="single" w:sz="4" w:space="0" w:color="auto"/>
              <w:left w:val="single" w:sz="4" w:space="0" w:color="auto"/>
              <w:bottom w:val="single" w:sz="4" w:space="0" w:color="auto"/>
              <w:right w:val="single" w:sz="4" w:space="0" w:color="auto"/>
            </w:tcBorders>
          </w:tcPr>
          <w:p w:rsidR="008F622E" w:rsidRPr="00D50E91" w:rsidRDefault="008F622E" w:rsidP="00C65880">
            <w:pPr>
              <w:autoSpaceDE w:val="0"/>
              <w:autoSpaceDN w:val="0"/>
              <w:adjustRightInd w:val="0"/>
              <w:ind w:left="56" w:right="56"/>
              <w:jc w:val="center"/>
              <w:rPr>
                <w:sz w:val="20"/>
                <w:szCs w:val="20"/>
              </w:rPr>
            </w:pPr>
            <w:r w:rsidRPr="00D50E91">
              <w:rPr>
                <w:sz w:val="20"/>
                <w:szCs w:val="20"/>
              </w:rPr>
              <w:t xml:space="preserve"> +6</w:t>
            </w:r>
          </w:p>
        </w:tc>
      </w:tr>
    </w:tbl>
    <w:p w:rsidR="005B415B" w:rsidRPr="00D50E91" w:rsidRDefault="005B415B" w:rsidP="00595B18">
      <w:pPr>
        <w:jc w:val="both"/>
      </w:pPr>
    </w:p>
    <w:p w:rsidR="005B415B" w:rsidRPr="00D50E91" w:rsidRDefault="005B415B">
      <w:pPr>
        <w:spacing w:after="200" w:line="276" w:lineRule="auto"/>
      </w:pPr>
      <w:r w:rsidRPr="00D50E91">
        <w:br w:type="page"/>
      </w:r>
    </w:p>
    <w:p w:rsidR="005B415B" w:rsidRPr="00D50E91" w:rsidRDefault="005B415B" w:rsidP="00A57512">
      <w:pPr>
        <w:autoSpaceDE w:val="0"/>
        <w:autoSpaceDN w:val="0"/>
        <w:adjustRightInd w:val="0"/>
        <w:jc w:val="right"/>
        <w:rPr>
          <w:i/>
        </w:rPr>
      </w:pPr>
      <w:r w:rsidRPr="00D50E91">
        <w:rPr>
          <w:i/>
        </w:rPr>
        <w:lastRenderedPageBreak/>
        <w:t>12. melléklet a …./2018. (……) BM rendelethez</w:t>
      </w:r>
    </w:p>
    <w:p w:rsidR="005B415B" w:rsidRPr="00D50E91" w:rsidRDefault="005B415B" w:rsidP="00A57512">
      <w:pPr>
        <w:jc w:val="both"/>
      </w:pPr>
    </w:p>
    <w:p w:rsidR="005B415B" w:rsidRPr="00D50E91" w:rsidRDefault="005B415B" w:rsidP="00A57512">
      <w:pPr>
        <w:pStyle w:val="Szvegtrzs"/>
        <w:rPr>
          <w:i/>
        </w:rPr>
      </w:pPr>
      <w:r w:rsidRPr="00D50E91">
        <w:rPr>
          <w:i/>
        </w:rPr>
        <w:t>17. melléklet az 54/2014. (XII. 5.) BM rendelethez</w:t>
      </w:r>
    </w:p>
    <w:p w:rsidR="005B415B" w:rsidRPr="00D50E91" w:rsidRDefault="005B415B" w:rsidP="00A57512">
      <w:pPr>
        <w:jc w:val="both"/>
      </w:pPr>
    </w:p>
    <w:p w:rsidR="005B415B" w:rsidRPr="00D50E91" w:rsidRDefault="005B415B" w:rsidP="00A57512">
      <w:pPr>
        <w:jc w:val="both"/>
        <w:rPr>
          <w:b/>
          <w:sz w:val="20"/>
          <w:szCs w:val="20"/>
        </w:rPr>
      </w:pPr>
      <w:r w:rsidRPr="00D50E91">
        <w:rPr>
          <w:b/>
          <w:sz w:val="20"/>
          <w:szCs w:val="20"/>
        </w:rPr>
        <w:t>1. táblázat, az Éghető folyadékok és gázok használati szabályai fejezethez</w:t>
      </w:r>
    </w:p>
    <w:p w:rsidR="005B415B" w:rsidRPr="00D50E91" w:rsidRDefault="005B415B" w:rsidP="00595B18">
      <w:pPr>
        <w:jc w:val="both"/>
      </w:pPr>
    </w:p>
    <w:p w:rsidR="00CC66C3" w:rsidRPr="00D50E91" w:rsidRDefault="005B415B" w:rsidP="00581930">
      <w:pPr>
        <w:ind w:right="3403"/>
        <w:jc w:val="center"/>
        <w:rPr>
          <w:i/>
          <w:sz w:val="20"/>
          <w:szCs w:val="20"/>
        </w:rPr>
      </w:pPr>
      <w:r w:rsidRPr="00D50E91">
        <w:rPr>
          <w:i/>
          <w:sz w:val="20"/>
          <w:szCs w:val="20"/>
        </w:rPr>
        <w:t>Kereskedelmi egység területén maximálisan tárolható fokozottan tűz</w:t>
      </w:r>
      <w:r w:rsidR="003528A8">
        <w:rPr>
          <w:i/>
          <w:sz w:val="20"/>
          <w:szCs w:val="20"/>
        </w:rPr>
        <w:t>-</w:t>
      </w:r>
      <w:r w:rsidRPr="00D50E91">
        <w:rPr>
          <w:i/>
          <w:sz w:val="20"/>
          <w:szCs w:val="20"/>
        </w:rPr>
        <w:t xml:space="preserve"> vagy robbanásveszélyes osztályba tartozó folyadékok és aeroszolok</w:t>
      </w:r>
    </w:p>
    <w:tbl>
      <w:tblPr>
        <w:tblW w:w="0" w:type="auto"/>
        <w:tblInd w:w="5" w:type="dxa"/>
        <w:tblLayout w:type="fixed"/>
        <w:tblCellMar>
          <w:left w:w="0" w:type="dxa"/>
          <w:right w:w="0" w:type="dxa"/>
        </w:tblCellMar>
        <w:tblLook w:val="0000" w:firstRow="0" w:lastRow="0" w:firstColumn="0" w:lastColumn="0" w:noHBand="0" w:noVBand="0"/>
      </w:tblPr>
      <w:tblGrid>
        <w:gridCol w:w="562"/>
        <w:gridCol w:w="2858"/>
        <w:gridCol w:w="2340"/>
        <w:gridCol w:w="1601"/>
        <w:gridCol w:w="1560"/>
        <w:gridCol w:w="2700"/>
      </w:tblGrid>
      <w:tr w:rsidR="005B415B" w:rsidRPr="00D50E91" w:rsidTr="00CC66C3">
        <w:tc>
          <w:tcPr>
            <w:tcW w:w="562" w:type="dxa"/>
            <w:tcBorders>
              <w:top w:val="single" w:sz="4" w:space="0" w:color="auto"/>
              <w:left w:val="single" w:sz="4" w:space="0" w:color="auto"/>
              <w:bottom w:val="single" w:sz="4" w:space="0" w:color="auto"/>
              <w:right w:val="single" w:sz="4" w:space="0" w:color="auto"/>
            </w:tcBorders>
          </w:tcPr>
          <w:p w:rsidR="005B415B" w:rsidRPr="00D50E91" w:rsidRDefault="005B415B" w:rsidP="00B11587">
            <w:pPr>
              <w:autoSpaceDE w:val="0"/>
              <w:autoSpaceDN w:val="0"/>
              <w:adjustRightInd w:val="0"/>
              <w:rPr>
                <w:sz w:val="20"/>
                <w:szCs w:val="20"/>
              </w:rPr>
            </w:pPr>
          </w:p>
        </w:tc>
        <w:tc>
          <w:tcPr>
            <w:tcW w:w="2858" w:type="dxa"/>
            <w:tcBorders>
              <w:top w:val="single" w:sz="4" w:space="0" w:color="auto"/>
              <w:left w:val="single" w:sz="4" w:space="0" w:color="auto"/>
              <w:bottom w:val="single" w:sz="4" w:space="0" w:color="auto"/>
              <w:right w:val="single" w:sz="4" w:space="0" w:color="auto"/>
            </w:tcBorders>
          </w:tcPr>
          <w:p w:rsidR="005B415B" w:rsidRPr="00D50E91" w:rsidRDefault="005B415B" w:rsidP="00B11587">
            <w:pPr>
              <w:autoSpaceDE w:val="0"/>
              <w:autoSpaceDN w:val="0"/>
              <w:adjustRightInd w:val="0"/>
              <w:ind w:left="56" w:right="56"/>
              <w:jc w:val="center"/>
              <w:rPr>
                <w:bCs/>
                <w:sz w:val="20"/>
                <w:szCs w:val="20"/>
              </w:rPr>
            </w:pPr>
            <w:r w:rsidRPr="00D50E91">
              <w:rPr>
                <w:sz w:val="20"/>
                <w:szCs w:val="20"/>
              </w:rPr>
              <w:t xml:space="preserve"> </w:t>
            </w:r>
            <w:r w:rsidRPr="00D50E91">
              <w:rPr>
                <w:bCs/>
                <w:sz w:val="20"/>
                <w:szCs w:val="20"/>
              </w:rPr>
              <w:t>A</w:t>
            </w:r>
          </w:p>
        </w:tc>
        <w:tc>
          <w:tcPr>
            <w:tcW w:w="2340" w:type="dxa"/>
            <w:tcBorders>
              <w:top w:val="single" w:sz="4" w:space="0" w:color="auto"/>
              <w:left w:val="single" w:sz="4" w:space="0" w:color="auto"/>
              <w:bottom w:val="single" w:sz="4" w:space="0" w:color="auto"/>
              <w:right w:val="single" w:sz="4" w:space="0" w:color="auto"/>
            </w:tcBorders>
          </w:tcPr>
          <w:p w:rsidR="005B415B" w:rsidRPr="00D50E91" w:rsidRDefault="005B415B" w:rsidP="00B11587">
            <w:pPr>
              <w:autoSpaceDE w:val="0"/>
              <w:autoSpaceDN w:val="0"/>
              <w:adjustRightInd w:val="0"/>
              <w:ind w:left="56" w:right="56"/>
              <w:jc w:val="center"/>
              <w:rPr>
                <w:sz w:val="20"/>
                <w:szCs w:val="20"/>
              </w:rPr>
            </w:pPr>
            <w:r w:rsidRPr="00D50E91">
              <w:rPr>
                <w:sz w:val="20"/>
                <w:szCs w:val="20"/>
              </w:rPr>
              <w:t xml:space="preserve"> B</w:t>
            </w:r>
          </w:p>
        </w:tc>
        <w:tc>
          <w:tcPr>
            <w:tcW w:w="3161" w:type="dxa"/>
            <w:gridSpan w:val="2"/>
            <w:tcBorders>
              <w:top w:val="single" w:sz="4" w:space="0" w:color="auto"/>
              <w:left w:val="single" w:sz="4" w:space="0" w:color="auto"/>
              <w:bottom w:val="single" w:sz="4" w:space="0" w:color="auto"/>
              <w:right w:val="single" w:sz="4" w:space="0" w:color="auto"/>
            </w:tcBorders>
          </w:tcPr>
          <w:p w:rsidR="005B415B" w:rsidRPr="00D50E91" w:rsidRDefault="005B415B" w:rsidP="00B11587">
            <w:pPr>
              <w:autoSpaceDE w:val="0"/>
              <w:autoSpaceDN w:val="0"/>
              <w:adjustRightInd w:val="0"/>
              <w:ind w:right="56"/>
              <w:jc w:val="center"/>
              <w:rPr>
                <w:sz w:val="20"/>
                <w:szCs w:val="20"/>
              </w:rPr>
            </w:pPr>
            <w:r w:rsidRPr="00D50E91">
              <w:rPr>
                <w:sz w:val="20"/>
                <w:szCs w:val="20"/>
              </w:rPr>
              <w:t>C</w:t>
            </w:r>
          </w:p>
        </w:tc>
        <w:tc>
          <w:tcPr>
            <w:tcW w:w="2700" w:type="dxa"/>
            <w:tcBorders>
              <w:top w:val="single" w:sz="4" w:space="0" w:color="auto"/>
              <w:left w:val="single" w:sz="4" w:space="0" w:color="auto"/>
              <w:bottom w:val="single" w:sz="4" w:space="0" w:color="auto"/>
              <w:right w:val="single" w:sz="4" w:space="0" w:color="auto"/>
            </w:tcBorders>
          </w:tcPr>
          <w:p w:rsidR="005B415B" w:rsidRPr="00D50E91" w:rsidRDefault="005B415B" w:rsidP="00B11587">
            <w:pPr>
              <w:autoSpaceDE w:val="0"/>
              <w:autoSpaceDN w:val="0"/>
              <w:adjustRightInd w:val="0"/>
              <w:ind w:right="56"/>
              <w:jc w:val="center"/>
              <w:rPr>
                <w:sz w:val="20"/>
                <w:szCs w:val="20"/>
              </w:rPr>
            </w:pPr>
            <w:r w:rsidRPr="00D50E91">
              <w:rPr>
                <w:sz w:val="20"/>
                <w:szCs w:val="20"/>
              </w:rPr>
              <w:t>E</w:t>
            </w:r>
          </w:p>
        </w:tc>
      </w:tr>
      <w:tr w:rsidR="005B415B" w:rsidRPr="00D50E91" w:rsidTr="00CC66C3">
        <w:trPr>
          <w:trHeight w:val="1306"/>
        </w:trPr>
        <w:tc>
          <w:tcPr>
            <w:tcW w:w="562" w:type="dxa"/>
            <w:vMerge w:val="restart"/>
            <w:tcBorders>
              <w:top w:val="single" w:sz="4" w:space="0" w:color="auto"/>
              <w:left w:val="single" w:sz="4" w:space="0" w:color="auto"/>
              <w:right w:val="single" w:sz="4" w:space="0" w:color="auto"/>
            </w:tcBorders>
          </w:tcPr>
          <w:p w:rsidR="005B415B" w:rsidRPr="00D50E91" w:rsidRDefault="005B415B" w:rsidP="00151389">
            <w:pPr>
              <w:autoSpaceDE w:val="0"/>
              <w:autoSpaceDN w:val="0"/>
              <w:adjustRightInd w:val="0"/>
              <w:ind w:left="56" w:right="56"/>
              <w:jc w:val="center"/>
              <w:rPr>
                <w:sz w:val="20"/>
                <w:szCs w:val="20"/>
              </w:rPr>
            </w:pPr>
            <w:r w:rsidRPr="00D50E91">
              <w:rPr>
                <w:sz w:val="20"/>
                <w:szCs w:val="20"/>
              </w:rPr>
              <w:t>1</w:t>
            </w:r>
          </w:p>
        </w:tc>
        <w:tc>
          <w:tcPr>
            <w:tcW w:w="2858" w:type="dxa"/>
            <w:vMerge w:val="restart"/>
            <w:tcBorders>
              <w:top w:val="single" w:sz="4" w:space="0" w:color="auto"/>
              <w:left w:val="single" w:sz="4" w:space="0" w:color="auto"/>
              <w:right w:val="single" w:sz="4" w:space="0" w:color="auto"/>
            </w:tcBorders>
          </w:tcPr>
          <w:p w:rsidR="005B415B" w:rsidRPr="00D50E91" w:rsidRDefault="005B415B" w:rsidP="00151389">
            <w:pPr>
              <w:autoSpaceDE w:val="0"/>
              <w:autoSpaceDN w:val="0"/>
              <w:adjustRightInd w:val="0"/>
              <w:ind w:right="56"/>
              <w:jc w:val="center"/>
              <w:rPr>
                <w:b/>
                <w:sz w:val="20"/>
                <w:szCs w:val="20"/>
              </w:rPr>
            </w:pPr>
            <w:r w:rsidRPr="00D50E91">
              <w:rPr>
                <w:b/>
                <w:sz w:val="20"/>
                <w:szCs w:val="20"/>
              </w:rPr>
              <w:t>Fokozottan tűz</w:t>
            </w:r>
            <w:r w:rsidR="003528A8">
              <w:rPr>
                <w:b/>
                <w:sz w:val="20"/>
                <w:szCs w:val="20"/>
              </w:rPr>
              <w:t>-</w:t>
            </w:r>
            <w:r w:rsidRPr="00D50E91">
              <w:rPr>
                <w:b/>
                <w:sz w:val="20"/>
                <w:szCs w:val="20"/>
              </w:rPr>
              <w:t xml:space="preserve"> vagy robbanásveszélyes folyadékok és</w:t>
            </w:r>
            <w:r w:rsidR="00CC66C3" w:rsidRPr="00D50E91">
              <w:rPr>
                <w:b/>
                <w:sz w:val="20"/>
                <w:szCs w:val="20"/>
              </w:rPr>
              <w:t xml:space="preserve"> aeroszolok tárolási jellemzői</w:t>
            </w:r>
          </w:p>
          <w:p w:rsidR="005B415B" w:rsidRPr="00D50E91" w:rsidRDefault="005B415B" w:rsidP="00151389">
            <w:pPr>
              <w:autoSpaceDE w:val="0"/>
              <w:autoSpaceDN w:val="0"/>
              <w:adjustRightInd w:val="0"/>
              <w:ind w:left="56" w:right="56"/>
              <w:jc w:val="center"/>
              <w:rPr>
                <w:b/>
                <w:sz w:val="20"/>
                <w:szCs w:val="20"/>
              </w:rPr>
            </w:pPr>
          </w:p>
        </w:tc>
        <w:tc>
          <w:tcPr>
            <w:tcW w:w="2340" w:type="dxa"/>
            <w:vMerge w:val="restart"/>
            <w:tcBorders>
              <w:top w:val="single" w:sz="4" w:space="0" w:color="auto"/>
              <w:left w:val="single" w:sz="4" w:space="0" w:color="auto"/>
              <w:right w:val="single" w:sz="4" w:space="0" w:color="auto"/>
            </w:tcBorders>
          </w:tcPr>
          <w:p w:rsidR="005B415B" w:rsidRPr="00D50E91" w:rsidRDefault="005B415B" w:rsidP="00151389">
            <w:pPr>
              <w:autoSpaceDE w:val="0"/>
              <w:autoSpaceDN w:val="0"/>
              <w:adjustRightInd w:val="0"/>
              <w:ind w:left="56" w:right="56"/>
              <w:jc w:val="center"/>
              <w:rPr>
                <w:b/>
                <w:sz w:val="20"/>
                <w:szCs w:val="20"/>
              </w:rPr>
            </w:pPr>
            <w:r w:rsidRPr="00D50E91">
              <w:rPr>
                <w:b/>
                <w:sz w:val="20"/>
                <w:szCs w:val="20"/>
              </w:rPr>
              <w:t>A kereskedelmi egységet befogadó kockázati egység teljes területén oltóberendezés</w:t>
            </w:r>
          </w:p>
        </w:tc>
        <w:tc>
          <w:tcPr>
            <w:tcW w:w="3161" w:type="dxa"/>
            <w:gridSpan w:val="2"/>
            <w:tcBorders>
              <w:top w:val="single" w:sz="4" w:space="0" w:color="auto"/>
              <w:left w:val="single" w:sz="4" w:space="0" w:color="auto"/>
              <w:bottom w:val="single" w:sz="4" w:space="0" w:color="auto"/>
              <w:right w:val="single" w:sz="4" w:space="0" w:color="auto"/>
            </w:tcBorders>
          </w:tcPr>
          <w:p w:rsidR="005B415B" w:rsidRPr="00D50E91" w:rsidRDefault="005B415B" w:rsidP="00151389">
            <w:pPr>
              <w:autoSpaceDE w:val="0"/>
              <w:autoSpaceDN w:val="0"/>
              <w:adjustRightInd w:val="0"/>
              <w:ind w:left="56" w:right="56"/>
              <w:jc w:val="center"/>
              <w:rPr>
                <w:b/>
                <w:sz w:val="20"/>
                <w:szCs w:val="20"/>
              </w:rPr>
            </w:pPr>
            <w:r w:rsidRPr="00D50E91">
              <w:rPr>
                <w:b/>
                <w:sz w:val="20"/>
                <w:szCs w:val="20"/>
              </w:rPr>
              <w:t>Fokozottan tűz</w:t>
            </w:r>
            <w:r w:rsidR="003528A8">
              <w:rPr>
                <w:b/>
                <w:sz w:val="20"/>
                <w:szCs w:val="20"/>
              </w:rPr>
              <w:t>-</w:t>
            </w:r>
            <w:r w:rsidRPr="00D50E91">
              <w:rPr>
                <w:b/>
                <w:sz w:val="20"/>
                <w:szCs w:val="20"/>
              </w:rPr>
              <w:t xml:space="preserve"> vagy robbanásveszélyes folyadékok és aeroszolok megengedett mennyisége (liter/kg) a kereskedelmi egység helyiségében, ha a helyiség alapterülete</w:t>
            </w:r>
          </w:p>
        </w:tc>
        <w:tc>
          <w:tcPr>
            <w:tcW w:w="2700" w:type="dxa"/>
            <w:tcBorders>
              <w:top w:val="single" w:sz="4" w:space="0" w:color="auto"/>
              <w:left w:val="single" w:sz="4" w:space="0" w:color="auto"/>
              <w:bottom w:val="single" w:sz="4" w:space="0" w:color="auto"/>
              <w:right w:val="single" w:sz="4" w:space="0" w:color="auto"/>
            </w:tcBorders>
          </w:tcPr>
          <w:p w:rsidR="005B415B" w:rsidRPr="00D50E91" w:rsidRDefault="005B415B" w:rsidP="00151389">
            <w:pPr>
              <w:autoSpaceDE w:val="0"/>
              <w:autoSpaceDN w:val="0"/>
              <w:adjustRightInd w:val="0"/>
              <w:ind w:left="56" w:right="56"/>
              <w:jc w:val="center"/>
              <w:rPr>
                <w:b/>
                <w:sz w:val="20"/>
                <w:szCs w:val="20"/>
              </w:rPr>
            </w:pPr>
            <w:r w:rsidRPr="00D50E91">
              <w:rPr>
                <w:b/>
                <w:sz w:val="20"/>
                <w:szCs w:val="20"/>
              </w:rPr>
              <w:t>Fokozottan tűz</w:t>
            </w:r>
            <w:r w:rsidR="003528A8">
              <w:rPr>
                <w:b/>
                <w:sz w:val="20"/>
                <w:szCs w:val="20"/>
              </w:rPr>
              <w:t>-</w:t>
            </w:r>
            <w:r w:rsidRPr="00D50E91">
              <w:rPr>
                <w:b/>
                <w:sz w:val="20"/>
                <w:szCs w:val="20"/>
              </w:rPr>
              <w:t xml:space="preserve"> vagy robbanásveszélyes folyadékok és aeroszolok megengedett összmennyisége (liter/kg)</w:t>
            </w:r>
          </w:p>
        </w:tc>
      </w:tr>
      <w:tr w:rsidR="005B415B" w:rsidRPr="00D50E91" w:rsidTr="00CC66C3">
        <w:trPr>
          <w:trHeight w:val="461"/>
        </w:trPr>
        <w:tc>
          <w:tcPr>
            <w:tcW w:w="562" w:type="dxa"/>
            <w:vMerge/>
            <w:tcBorders>
              <w:left w:val="single" w:sz="4" w:space="0" w:color="auto"/>
              <w:bottom w:val="single" w:sz="4" w:space="0" w:color="auto"/>
              <w:right w:val="single" w:sz="4" w:space="0" w:color="auto"/>
            </w:tcBorders>
          </w:tcPr>
          <w:p w:rsidR="005B415B" w:rsidRPr="00D50E91" w:rsidRDefault="005B415B" w:rsidP="00151389">
            <w:pPr>
              <w:autoSpaceDE w:val="0"/>
              <w:autoSpaceDN w:val="0"/>
              <w:adjustRightInd w:val="0"/>
              <w:ind w:left="56" w:right="56"/>
              <w:jc w:val="center"/>
              <w:rPr>
                <w:b/>
                <w:sz w:val="20"/>
                <w:szCs w:val="20"/>
              </w:rPr>
            </w:pPr>
          </w:p>
        </w:tc>
        <w:tc>
          <w:tcPr>
            <w:tcW w:w="2858" w:type="dxa"/>
            <w:vMerge/>
            <w:tcBorders>
              <w:left w:val="single" w:sz="4" w:space="0" w:color="auto"/>
              <w:bottom w:val="single" w:sz="4" w:space="0" w:color="auto"/>
              <w:right w:val="single" w:sz="4" w:space="0" w:color="auto"/>
            </w:tcBorders>
          </w:tcPr>
          <w:p w:rsidR="005B415B" w:rsidRPr="00D50E91" w:rsidRDefault="005B415B" w:rsidP="00151389">
            <w:pPr>
              <w:autoSpaceDE w:val="0"/>
              <w:autoSpaceDN w:val="0"/>
              <w:adjustRightInd w:val="0"/>
              <w:ind w:left="56" w:right="56"/>
              <w:jc w:val="center"/>
              <w:rPr>
                <w:b/>
                <w:sz w:val="20"/>
                <w:szCs w:val="20"/>
              </w:rPr>
            </w:pPr>
          </w:p>
        </w:tc>
        <w:tc>
          <w:tcPr>
            <w:tcW w:w="2340" w:type="dxa"/>
            <w:vMerge/>
            <w:tcBorders>
              <w:left w:val="single" w:sz="4" w:space="0" w:color="auto"/>
              <w:bottom w:val="single" w:sz="4" w:space="0" w:color="auto"/>
              <w:right w:val="single" w:sz="4" w:space="0" w:color="auto"/>
            </w:tcBorders>
          </w:tcPr>
          <w:p w:rsidR="005B415B" w:rsidRPr="00D50E91" w:rsidRDefault="005B415B" w:rsidP="00151389">
            <w:pPr>
              <w:autoSpaceDE w:val="0"/>
              <w:autoSpaceDN w:val="0"/>
              <w:adjustRightInd w:val="0"/>
              <w:ind w:left="56" w:right="56"/>
              <w:jc w:val="center"/>
              <w:rPr>
                <w:b/>
                <w:sz w:val="20"/>
                <w:szCs w:val="20"/>
              </w:rPr>
            </w:pPr>
          </w:p>
        </w:tc>
        <w:tc>
          <w:tcPr>
            <w:tcW w:w="1601" w:type="dxa"/>
            <w:tcBorders>
              <w:top w:val="single" w:sz="4" w:space="0" w:color="auto"/>
              <w:left w:val="single" w:sz="4" w:space="0" w:color="auto"/>
              <w:bottom w:val="single" w:sz="4" w:space="0" w:color="auto"/>
              <w:right w:val="single" w:sz="4" w:space="0" w:color="auto"/>
            </w:tcBorders>
          </w:tcPr>
          <w:p w:rsidR="005B415B" w:rsidRPr="00D50E91" w:rsidRDefault="005B415B" w:rsidP="00151389">
            <w:pPr>
              <w:autoSpaceDE w:val="0"/>
              <w:autoSpaceDN w:val="0"/>
              <w:adjustRightInd w:val="0"/>
              <w:ind w:left="56" w:right="56"/>
              <w:jc w:val="center"/>
              <w:rPr>
                <w:b/>
                <w:sz w:val="20"/>
                <w:szCs w:val="20"/>
              </w:rPr>
            </w:pPr>
            <w:r w:rsidRPr="00D50E91">
              <w:rPr>
                <w:b/>
                <w:sz w:val="20"/>
                <w:szCs w:val="20"/>
              </w:rPr>
              <w:t>legfeljebb 1.500 m2</w:t>
            </w:r>
          </w:p>
        </w:tc>
        <w:tc>
          <w:tcPr>
            <w:tcW w:w="1560" w:type="dxa"/>
            <w:tcBorders>
              <w:top w:val="single" w:sz="4" w:space="0" w:color="auto"/>
              <w:left w:val="single" w:sz="4" w:space="0" w:color="auto"/>
              <w:bottom w:val="single" w:sz="4" w:space="0" w:color="auto"/>
              <w:right w:val="single" w:sz="4" w:space="0" w:color="auto"/>
            </w:tcBorders>
          </w:tcPr>
          <w:p w:rsidR="005B415B" w:rsidRPr="00D50E91" w:rsidRDefault="005B415B" w:rsidP="00151389">
            <w:pPr>
              <w:autoSpaceDE w:val="0"/>
              <w:autoSpaceDN w:val="0"/>
              <w:adjustRightInd w:val="0"/>
              <w:ind w:left="56" w:right="56"/>
              <w:jc w:val="center"/>
              <w:rPr>
                <w:b/>
                <w:sz w:val="20"/>
                <w:szCs w:val="20"/>
              </w:rPr>
            </w:pPr>
            <w:r w:rsidRPr="00D50E91">
              <w:rPr>
                <w:b/>
                <w:sz w:val="20"/>
                <w:szCs w:val="20"/>
              </w:rPr>
              <w:t>nagyobb, mint 1.500 m2</w:t>
            </w:r>
          </w:p>
        </w:tc>
        <w:tc>
          <w:tcPr>
            <w:tcW w:w="2700" w:type="dxa"/>
            <w:tcBorders>
              <w:top w:val="single" w:sz="4" w:space="0" w:color="auto"/>
              <w:left w:val="single" w:sz="4" w:space="0" w:color="auto"/>
              <w:bottom w:val="single" w:sz="4" w:space="0" w:color="auto"/>
              <w:right w:val="single" w:sz="4" w:space="0" w:color="auto"/>
            </w:tcBorders>
          </w:tcPr>
          <w:p w:rsidR="005B415B" w:rsidRPr="00D50E91" w:rsidRDefault="005B415B" w:rsidP="00151389">
            <w:pPr>
              <w:autoSpaceDE w:val="0"/>
              <w:autoSpaceDN w:val="0"/>
              <w:adjustRightInd w:val="0"/>
              <w:ind w:left="56" w:right="56"/>
              <w:jc w:val="center"/>
              <w:rPr>
                <w:b/>
                <w:sz w:val="20"/>
                <w:szCs w:val="20"/>
              </w:rPr>
            </w:pPr>
            <w:r w:rsidRPr="00D50E91">
              <w:rPr>
                <w:b/>
                <w:sz w:val="20"/>
                <w:szCs w:val="20"/>
              </w:rPr>
              <w:t>a kereskedelmi egység teljes területén</w:t>
            </w:r>
          </w:p>
        </w:tc>
      </w:tr>
      <w:tr w:rsidR="005B415B" w:rsidRPr="00D50E91" w:rsidTr="00CC66C3">
        <w:tc>
          <w:tcPr>
            <w:tcW w:w="562" w:type="dxa"/>
            <w:tcBorders>
              <w:top w:val="single" w:sz="4" w:space="0" w:color="auto"/>
              <w:left w:val="single" w:sz="4" w:space="0" w:color="auto"/>
              <w:bottom w:val="single" w:sz="4" w:space="0" w:color="auto"/>
              <w:right w:val="single" w:sz="4" w:space="0" w:color="auto"/>
            </w:tcBorders>
          </w:tcPr>
          <w:p w:rsidR="005B415B" w:rsidRPr="00D50E91" w:rsidRDefault="005B415B" w:rsidP="00B11587">
            <w:pPr>
              <w:autoSpaceDE w:val="0"/>
              <w:autoSpaceDN w:val="0"/>
              <w:adjustRightInd w:val="0"/>
              <w:ind w:left="56" w:right="56"/>
              <w:jc w:val="center"/>
              <w:rPr>
                <w:sz w:val="20"/>
                <w:szCs w:val="20"/>
              </w:rPr>
            </w:pPr>
            <w:r w:rsidRPr="00D50E91">
              <w:rPr>
                <w:sz w:val="20"/>
                <w:szCs w:val="20"/>
              </w:rPr>
              <w:t xml:space="preserve"> 2</w:t>
            </w:r>
          </w:p>
        </w:tc>
        <w:tc>
          <w:tcPr>
            <w:tcW w:w="2858" w:type="dxa"/>
            <w:tcBorders>
              <w:top w:val="single" w:sz="4" w:space="0" w:color="auto"/>
              <w:left w:val="single" w:sz="4" w:space="0" w:color="auto"/>
              <w:bottom w:val="single" w:sz="4" w:space="0" w:color="auto"/>
              <w:right w:val="single" w:sz="4" w:space="0" w:color="auto"/>
            </w:tcBorders>
          </w:tcPr>
          <w:p w:rsidR="005B415B" w:rsidRPr="00D50E91" w:rsidRDefault="00CC66C3" w:rsidP="00B11587">
            <w:pPr>
              <w:autoSpaceDE w:val="0"/>
              <w:autoSpaceDN w:val="0"/>
              <w:adjustRightInd w:val="0"/>
              <w:rPr>
                <w:sz w:val="20"/>
                <w:szCs w:val="20"/>
              </w:rPr>
            </w:pPr>
            <w:r w:rsidRPr="00D50E91">
              <w:rPr>
                <w:sz w:val="20"/>
                <w:szCs w:val="20"/>
              </w:rPr>
              <w:t xml:space="preserve"> </w:t>
            </w:r>
            <w:r w:rsidR="005B415B" w:rsidRPr="00D50E91">
              <w:rPr>
                <w:sz w:val="20"/>
                <w:szCs w:val="20"/>
              </w:rPr>
              <w:t>Eladótérben, tárolóhelyiségben, más tűzveszélyességi osztályú anyagokkal együtt</w:t>
            </w:r>
          </w:p>
        </w:tc>
        <w:tc>
          <w:tcPr>
            <w:tcW w:w="2340" w:type="dxa"/>
            <w:tcBorders>
              <w:top w:val="single" w:sz="4" w:space="0" w:color="auto"/>
              <w:left w:val="single" w:sz="4" w:space="0" w:color="auto"/>
              <w:bottom w:val="single" w:sz="4" w:space="0" w:color="auto"/>
              <w:right w:val="single" w:sz="4" w:space="0" w:color="auto"/>
            </w:tcBorders>
          </w:tcPr>
          <w:p w:rsidR="005B415B" w:rsidRPr="00D50E91" w:rsidRDefault="00CC66C3" w:rsidP="00CC66C3">
            <w:pPr>
              <w:autoSpaceDE w:val="0"/>
              <w:autoSpaceDN w:val="0"/>
              <w:adjustRightInd w:val="0"/>
              <w:jc w:val="center"/>
              <w:rPr>
                <w:sz w:val="20"/>
                <w:szCs w:val="20"/>
              </w:rPr>
            </w:pPr>
            <w:r w:rsidRPr="00D50E91">
              <w:rPr>
                <w:sz w:val="20"/>
                <w:szCs w:val="20"/>
              </w:rPr>
              <w:t>n</w:t>
            </w:r>
            <w:r w:rsidR="005B415B" w:rsidRPr="00D50E91">
              <w:rPr>
                <w:sz w:val="20"/>
                <w:szCs w:val="20"/>
              </w:rPr>
              <w:t>incs</w:t>
            </w:r>
          </w:p>
        </w:tc>
        <w:tc>
          <w:tcPr>
            <w:tcW w:w="1601" w:type="dxa"/>
            <w:tcBorders>
              <w:top w:val="single" w:sz="4" w:space="0" w:color="auto"/>
              <w:left w:val="single" w:sz="4" w:space="0" w:color="auto"/>
              <w:bottom w:val="single" w:sz="4" w:space="0" w:color="auto"/>
              <w:right w:val="single" w:sz="4" w:space="0" w:color="auto"/>
            </w:tcBorders>
          </w:tcPr>
          <w:p w:rsidR="005B415B" w:rsidRPr="00D50E91" w:rsidRDefault="005B415B" w:rsidP="00CC66C3">
            <w:pPr>
              <w:autoSpaceDE w:val="0"/>
              <w:autoSpaceDN w:val="0"/>
              <w:adjustRightInd w:val="0"/>
              <w:jc w:val="center"/>
              <w:rPr>
                <w:sz w:val="20"/>
                <w:szCs w:val="20"/>
              </w:rPr>
            </w:pPr>
            <w:r w:rsidRPr="00D50E91">
              <w:rPr>
                <w:sz w:val="20"/>
                <w:szCs w:val="20"/>
              </w:rPr>
              <w:t>1000</w:t>
            </w:r>
          </w:p>
          <w:p w:rsidR="005B415B" w:rsidRPr="00D50E91" w:rsidRDefault="005B415B" w:rsidP="00CC66C3">
            <w:pPr>
              <w:autoSpaceDE w:val="0"/>
              <w:autoSpaceDN w:val="0"/>
              <w:adjustRightInd w:val="0"/>
              <w:jc w:val="center"/>
              <w:rPr>
                <w:sz w:val="20"/>
                <w:szCs w:val="20"/>
              </w:rPr>
            </w:pPr>
          </w:p>
          <w:p w:rsidR="005B415B" w:rsidRPr="00D50E91" w:rsidRDefault="005B415B" w:rsidP="00CC66C3">
            <w:pPr>
              <w:autoSpaceDE w:val="0"/>
              <w:autoSpaceDN w:val="0"/>
              <w:adjustRightInd w:val="0"/>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5B415B" w:rsidRPr="00D50E91" w:rsidRDefault="005B415B" w:rsidP="00CC66C3">
            <w:pPr>
              <w:autoSpaceDE w:val="0"/>
              <w:autoSpaceDN w:val="0"/>
              <w:adjustRightInd w:val="0"/>
              <w:jc w:val="center"/>
              <w:rPr>
                <w:sz w:val="20"/>
                <w:szCs w:val="20"/>
              </w:rPr>
            </w:pPr>
            <w:r w:rsidRPr="00D50E91">
              <w:rPr>
                <w:sz w:val="20"/>
                <w:szCs w:val="20"/>
              </w:rPr>
              <w:t>1.500</w:t>
            </w:r>
          </w:p>
        </w:tc>
        <w:tc>
          <w:tcPr>
            <w:tcW w:w="2700" w:type="dxa"/>
            <w:tcBorders>
              <w:top w:val="single" w:sz="4" w:space="0" w:color="auto"/>
              <w:left w:val="single" w:sz="4" w:space="0" w:color="auto"/>
              <w:bottom w:val="single" w:sz="4" w:space="0" w:color="auto"/>
              <w:right w:val="single" w:sz="4" w:space="0" w:color="auto"/>
            </w:tcBorders>
          </w:tcPr>
          <w:p w:rsidR="005B415B" w:rsidRPr="00D50E91" w:rsidRDefault="005B415B" w:rsidP="00CC66C3">
            <w:pPr>
              <w:autoSpaceDE w:val="0"/>
              <w:autoSpaceDN w:val="0"/>
              <w:adjustRightInd w:val="0"/>
              <w:jc w:val="center"/>
              <w:rPr>
                <w:sz w:val="20"/>
                <w:szCs w:val="20"/>
              </w:rPr>
            </w:pPr>
            <w:r w:rsidRPr="00D50E91">
              <w:rPr>
                <w:sz w:val="20"/>
                <w:szCs w:val="20"/>
              </w:rPr>
              <w:t>3.000</w:t>
            </w:r>
          </w:p>
        </w:tc>
      </w:tr>
      <w:tr w:rsidR="005B415B" w:rsidRPr="00D50E91" w:rsidTr="00CC66C3">
        <w:tc>
          <w:tcPr>
            <w:tcW w:w="562" w:type="dxa"/>
            <w:tcBorders>
              <w:top w:val="single" w:sz="4" w:space="0" w:color="auto"/>
              <w:left w:val="single" w:sz="4" w:space="0" w:color="auto"/>
              <w:bottom w:val="single" w:sz="4" w:space="0" w:color="auto"/>
              <w:right w:val="single" w:sz="4" w:space="0" w:color="auto"/>
            </w:tcBorders>
          </w:tcPr>
          <w:p w:rsidR="005B415B" w:rsidRPr="00D50E91" w:rsidRDefault="005B415B" w:rsidP="00B11587">
            <w:pPr>
              <w:autoSpaceDE w:val="0"/>
              <w:autoSpaceDN w:val="0"/>
              <w:adjustRightInd w:val="0"/>
              <w:ind w:left="56" w:right="56"/>
              <w:jc w:val="center"/>
              <w:rPr>
                <w:sz w:val="20"/>
                <w:szCs w:val="20"/>
              </w:rPr>
            </w:pPr>
            <w:r w:rsidRPr="00D50E91">
              <w:rPr>
                <w:sz w:val="20"/>
                <w:szCs w:val="20"/>
              </w:rPr>
              <w:t xml:space="preserve"> 3</w:t>
            </w:r>
          </w:p>
        </w:tc>
        <w:tc>
          <w:tcPr>
            <w:tcW w:w="2858" w:type="dxa"/>
            <w:tcBorders>
              <w:top w:val="single" w:sz="4" w:space="0" w:color="auto"/>
              <w:left w:val="single" w:sz="4" w:space="0" w:color="auto"/>
              <w:bottom w:val="single" w:sz="4" w:space="0" w:color="auto"/>
              <w:right w:val="single" w:sz="4" w:space="0" w:color="auto"/>
            </w:tcBorders>
          </w:tcPr>
          <w:p w:rsidR="005B415B" w:rsidRPr="00D50E91" w:rsidRDefault="00CC66C3" w:rsidP="00B11587">
            <w:pPr>
              <w:autoSpaceDE w:val="0"/>
              <w:autoSpaceDN w:val="0"/>
              <w:adjustRightInd w:val="0"/>
              <w:rPr>
                <w:sz w:val="20"/>
                <w:szCs w:val="20"/>
              </w:rPr>
            </w:pPr>
            <w:r w:rsidRPr="00D50E91">
              <w:rPr>
                <w:sz w:val="20"/>
                <w:szCs w:val="20"/>
              </w:rPr>
              <w:t xml:space="preserve"> </w:t>
            </w:r>
            <w:r w:rsidR="005B415B" w:rsidRPr="00D50E91">
              <w:rPr>
                <w:sz w:val="20"/>
                <w:szCs w:val="20"/>
              </w:rPr>
              <w:t>Eladótérben, tárolóhelyiségben, más tűzveszélyességi osztályú anyagokkal együtt</w:t>
            </w:r>
          </w:p>
        </w:tc>
        <w:tc>
          <w:tcPr>
            <w:tcW w:w="2340" w:type="dxa"/>
            <w:tcBorders>
              <w:top w:val="single" w:sz="4" w:space="0" w:color="auto"/>
              <w:left w:val="single" w:sz="4" w:space="0" w:color="auto"/>
              <w:bottom w:val="single" w:sz="4" w:space="0" w:color="auto"/>
              <w:right w:val="single" w:sz="4" w:space="0" w:color="auto"/>
            </w:tcBorders>
          </w:tcPr>
          <w:p w:rsidR="005B415B" w:rsidRPr="00D50E91" w:rsidRDefault="00CC66C3" w:rsidP="00CC66C3">
            <w:pPr>
              <w:autoSpaceDE w:val="0"/>
              <w:autoSpaceDN w:val="0"/>
              <w:adjustRightInd w:val="0"/>
              <w:ind w:left="56" w:right="56"/>
              <w:jc w:val="center"/>
              <w:rPr>
                <w:sz w:val="20"/>
                <w:szCs w:val="20"/>
              </w:rPr>
            </w:pPr>
            <w:r w:rsidRPr="00D50E91">
              <w:rPr>
                <w:sz w:val="20"/>
                <w:szCs w:val="20"/>
              </w:rPr>
              <w:t>v</w:t>
            </w:r>
            <w:r w:rsidR="005B415B" w:rsidRPr="00D50E91">
              <w:rPr>
                <w:sz w:val="20"/>
                <w:szCs w:val="20"/>
              </w:rPr>
              <w:t>an</w:t>
            </w:r>
          </w:p>
        </w:tc>
        <w:tc>
          <w:tcPr>
            <w:tcW w:w="1601" w:type="dxa"/>
            <w:tcBorders>
              <w:top w:val="single" w:sz="4" w:space="0" w:color="auto"/>
              <w:left w:val="single" w:sz="4" w:space="0" w:color="auto"/>
              <w:bottom w:val="single" w:sz="4" w:space="0" w:color="auto"/>
              <w:right w:val="single" w:sz="4" w:space="0" w:color="auto"/>
            </w:tcBorders>
          </w:tcPr>
          <w:p w:rsidR="005B415B" w:rsidRPr="00D50E91" w:rsidRDefault="005B415B" w:rsidP="00CC66C3">
            <w:pPr>
              <w:autoSpaceDE w:val="0"/>
              <w:autoSpaceDN w:val="0"/>
              <w:adjustRightInd w:val="0"/>
              <w:jc w:val="center"/>
              <w:rPr>
                <w:sz w:val="20"/>
                <w:szCs w:val="20"/>
              </w:rPr>
            </w:pPr>
            <w:r w:rsidRPr="00D50E91">
              <w:rPr>
                <w:sz w:val="20"/>
                <w:szCs w:val="20"/>
              </w:rPr>
              <w:t>1.500</w:t>
            </w:r>
          </w:p>
        </w:tc>
        <w:tc>
          <w:tcPr>
            <w:tcW w:w="1560" w:type="dxa"/>
            <w:tcBorders>
              <w:top w:val="single" w:sz="4" w:space="0" w:color="auto"/>
              <w:left w:val="single" w:sz="4" w:space="0" w:color="auto"/>
              <w:bottom w:val="single" w:sz="4" w:space="0" w:color="auto"/>
              <w:right w:val="single" w:sz="4" w:space="0" w:color="auto"/>
            </w:tcBorders>
          </w:tcPr>
          <w:p w:rsidR="005B415B" w:rsidRPr="00D50E91" w:rsidRDefault="005B415B" w:rsidP="00CC66C3">
            <w:pPr>
              <w:autoSpaceDE w:val="0"/>
              <w:autoSpaceDN w:val="0"/>
              <w:adjustRightInd w:val="0"/>
              <w:jc w:val="center"/>
              <w:rPr>
                <w:sz w:val="20"/>
                <w:szCs w:val="20"/>
              </w:rPr>
            </w:pPr>
            <w:r w:rsidRPr="00D50E91">
              <w:rPr>
                <w:sz w:val="20"/>
                <w:szCs w:val="20"/>
              </w:rPr>
              <w:t>3.000</w:t>
            </w:r>
          </w:p>
        </w:tc>
        <w:tc>
          <w:tcPr>
            <w:tcW w:w="2700" w:type="dxa"/>
            <w:tcBorders>
              <w:top w:val="single" w:sz="4" w:space="0" w:color="auto"/>
              <w:left w:val="single" w:sz="4" w:space="0" w:color="auto"/>
              <w:bottom w:val="single" w:sz="4" w:space="0" w:color="auto"/>
              <w:right w:val="single" w:sz="4" w:space="0" w:color="auto"/>
            </w:tcBorders>
          </w:tcPr>
          <w:p w:rsidR="005B415B" w:rsidRPr="00D50E91" w:rsidRDefault="005B415B" w:rsidP="00CC66C3">
            <w:pPr>
              <w:autoSpaceDE w:val="0"/>
              <w:autoSpaceDN w:val="0"/>
              <w:adjustRightInd w:val="0"/>
              <w:jc w:val="center"/>
              <w:rPr>
                <w:sz w:val="20"/>
                <w:szCs w:val="20"/>
              </w:rPr>
            </w:pPr>
            <w:r w:rsidRPr="00D50E91">
              <w:rPr>
                <w:sz w:val="20"/>
                <w:szCs w:val="20"/>
              </w:rPr>
              <w:t>3.000</w:t>
            </w:r>
          </w:p>
        </w:tc>
      </w:tr>
      <w:tr w:rsidR="005B415B" w:rsidRPr="00D50E91" w:rsidTr="00CC66C3">
        <w:tc>
          <w:tcPr>
            <w:tcW w:w="562" w:type="dxa"/>
            <w:tcBorders>
              <w:top w:val="single" w:sz="4" w:space="0" w:color="auto"/>
              <w:left w:val="single" w:sz="4" w:space="0" w:color="auto"/>
              <w:bottom w:val="single" w:sz="4" w:space="0" w:color="auto"/>
              <w:right w:val="single" w:sz="4" w:space="0" w:color="auto"/>
            </w:tcBorders>
          </w:tcPr>
          <w:p w:rsidR="005B415B" w:rsidRPr="00D50E91" w:rsidRDefault="005B415B" w:rsidP="00B11587">
            <w:pPr>
              <w:autoSpaceDE w:val="0"/>
              <w:autoSpaceDN w:val="0"/>
              <w:adjustRightInd w:val="0"/>
              <w:ind w:left="56" w:right="56"/>
              <w:jc w:val="center"/>
              <w:rPr>
                <w:sz w:val="20"/>
                <w:szCs w:val="20"/>
              </w:rPr>
            </w:pPr>
            <w:r w:rsidRPr="00D50E91">
              <w:rPr>
                <w:sz w:val="20"/>
                <w:szCs w:val="20"/>
              </w:rPr>
              <w:t xml:space="preserve"> 4</w:t>
            </w:r>
          </w:p>
        </w:tc>
        <w:tc>
          <w:tcPr>
            <w:tcW w:w="2858" w:type="dxa"/>
            <w:tcBorders>
              <w:top w:val="single" w:sz="4" w:space="0" w:color="auto"/>
              <w:left w:val="single" w:sz="4" w:space="0" w:color="auto"/>
              <w:bottom w:val="single" w:sz="4" w:space="0" w:color="auto"/>
              <w:right w:val="single" w:sz="4" w:space="0" w:color="auto"/>
            </w:tcBorders>
          </w:tcPr>
          <w:p w:rsidR="005B415B" w:rsidRPr="00D50E91" w:rsidRDefault="005B415B" w:rsidP="00B11587">
            <w:pPr>
              <w:autoSpaceDE w:val="0"/>
              <w:autoSpaceDN w:val="0"/>
              <w:adjustRightInd w:val="0"/>
              <w:ind w:left="56" w:right="56"/>
              <w:rPr>
                <w:sz w:val="20"/>
                <w:szCs w:val="20"/>
              </w:rPr>
            </w:pPr>
            <w:r w:rsidRPr="00D50E91">
              <w:rPr>
                <w:sz w:val="20"/>
                <w:szCs w:val="20"/>
              </w:rPr>
              <w:t>Eladótérben, tárolóhelyiségben, más tűzveszélyességi osztályú anyagokkal együtt, ha a kereskedelmi egység önálló tűzszakaszt képez</w:t>
            </w:r>
          </w:p>
        </w:tc>
        <w:tc>
          <w:tcPr>
            <w:tcW w:w="2340" w:type="dxa"/>
            <w:tcBorders>
              <w:top w:val="single" w:sz="4" w:space="0" w:color="auto"/>
              <w:left w:val="single" w:sz="4" w:space="0" w:color="auto"/>
              <w:bottom w:val="single" w:sz="4" w:space="0" w:color="auto"/>
              <w:right w:val="single" w:sz="4" w:space="0" w:color="auto"/>
            </w:tcBorders>
          </w:tcPr>
          <w:p w:rsidR="005B415B" w:rsidRPr="00D50E91" w:rsidRDefault="00CC66C3" w:rsidP="00CC66C3">
            <w:pPr>
              <w:autoSpaceDE w:val="0"/>
              <w:autoSpaceDN w:val="0"/>
              <w:adjustRightInd w:val="0"/>
              <w:jc w:val="center"/>
              <w:rPr>
                <w:sz w:val="20"/>
                <w:szCs w:val="20"/>
              </w:rPr>
            </w:pPr>
            <w:r w:rsidRPr="00D50E91">
              <w:rPr>
                <w:sz w:val="20"/>
                <w:szCs w:val="20"/>
              </w:rPr>
              <w:t>n</w:t>
            </w:r>
            <w:r w:rsidR="005B415B" w:rsidRPr="00D50E91">
              <w:rPr>
                <w:sz w:val="20"/>
                <w:szCs w:val="20"/>
              </w:rPr>
              <w:t>incs</w:t>
            </w:r>
          </w:p>
        </w:tc>
        <w:tc>
          <w:tcPr>
            <w:tcW w:w="1601" w:type="dxa"/>
            <w:tcBorders>
              <w:top w:val="single" w:sz="4" w:space="0" w:color="auto"/>
              <w:left w:val="single" w:sz="4" w:space="0" w:color="auto"/>
              <w:bottom w:val="single" w:sz="4" w:space="0" w:color="auto"/>
              <w:right w:val="single" w:sz="4" w:space="0" w:color="auto"/>
            </w:tcBorders>
          </w:tcPr>
          <w:p w:rsidR="005B415B" w:rsidRPr="00D50E91" w:rsidRDefault="005B415B" w:rsidP="00CC66C3">
            <w:pPr>
              <w:autoSpaceDE w:val="0"/>
              <w:autoSpaceDN w:val="0"/>
              <w:adjustRightInd w:val="0"/>
              <w:jc w:val="center"/>
              <w:rPr>
                <w:sz w:val="20"/>
                <w:szCs w:val="20"/>
              </w:rPr>
            </w:pPr>
            <w:r w:rsidRPr="00D50E91">
              <w:rPr>
                <w:sz w:val="20"/>
                <w:szCs w:val="20"/>
              </w:rPr>
              <w:t>3.000</w:t>
            </w:r>
          </w:p>
        </w:tc>
        <w:tc>
          <w:tcPr>
            <w:tcW w:w="1560" w:type="dxa"/>
            <w:tcBorders>
              <w:top w:val="single" w:sz="4" w:space="0" w:color="auto"/>
              <w:left w:val="single" w:sz="4" w:space="0" w:color="auto"/>
              <w:bottom w:val="single" w:sz="4" w:space="0" w:color="auto"/>
              <w:right w:val="single" w:sz="4" w:space="0" w:color="auto"/>
            </w:tcBorders>
          </w:tcPr>
          <w:p w:rsidR="005B415B" w:rsidRPr="00D50E91" w:rsidRDefault="005B415B" w:rsidP="00CC66C3">
            <w:pPr>
              <w:autoSpaceDE w:val="0"/>
              <w:autoSpaceDN w:val="0"/>
              <w:adjustRightInd w:val="0"/>
              <w:jc w:val="center"/>
              <w:rPr>
                <w:sz w:val="20"/>
                <w:szCs w:val="20"/>
              </w:rPr>
            </w:pPr>
            <w:r w:rsidRPr="00D50E91">
              <w:rPr>
                <w:sz w:val="20"/>
                <w:szCs w:val="20"/>
              </w:rPr>
              <w:t>4.500</w:t>
            </w:r>
          </w:p>
        </w:tc>
        <w:tc>
          <w:tcPr>
            <w:tcW w:w="2700" w:type="dxa"/>
            <w:tcBorders>
              <w:top w:val="single" w:sz="4" w:space="0" w:color="auto"/>
              <w:left w:val="single" w:sz="4" w:space="0" w:color="auto"/>
              <w:bottom w:val="single" w:sz="4" w:space="0" w:color="auto"/>
              <w:right w:val="single" w:sz="4" w:space="0" w:color="auto"/>
            </w:tcBorders>
          </w:tcPr>
          <w:p w:rsidR="005B415B" w:rsidRPr="00D50E91" w:rsidRDefault="005B415B" w:rsidP="00CC66C3">
            <w:pPr>
              <w:autoSpaceDE w:val="0"/>
              <w:autoSpaceDN w:val="0"/>
              <w:adjustRightInd w:val="0"/>
              <w:jc w:val="center"/>
              <w:rPr>
                <w:sz w:val="20"/>
                <w:szCs w:val="20"/>
              </w:rPr>
            </w:pPr>
            <w:r w:rsidRPr="00D50E91">
              <w:rPr>
                <w:sz w:val="20"/>
                <w:szCs w:val="20"/>
              </w:rPr>
              <w:t>6.000</w:t>
            </w:r>
          </w:p>
        </w:tc>
      </w:tr>
      <w:tr w:rsidR="005B415B" w:rsidRPr="00D50E91" w:rsidTr="00CC66C3">
        <w:tc>
          <w:tcPr>
            <w:tcW w:w="562" w:type="dxa"/>
            <w:tcBorders>
              <w:top w:val="single" w:sz="4" w:space="0" w:color="auto"/>
              <w:left w:val="single" w:sz="4" w:space="0" w:color="auto"/>
              <w:bottom w:val="single" w:sz="4" w:space="0" w:color="auto"/>
              <w:right w:val="single" w:sz="4" w:space="0" w:color="auto"/>
            </w:tcBorders>
          </w:tcPr>
          <w:p w:rsidR="005B415B" w:rsidRPr="00D50E91" w:rsidRDefault="005B415B" w:rsidP="00B11587">
            <w:pPr>
              <w:autoSpaceDE w:val="0"/>
              <w:autoSpaceDN w:val="0"/>
              <w:adjustRightInd w:val="0"/>
              <w:ind w:left="56" w:right="56"/>
              <w:jc w:val="center"/>
              <w:rPr>
                <w:sz w:val="20"/>
                <w:szCs w:val="20"/>
              </w:rPr>
            </w:pPr>
            <w:r w:rsidRPr="00D50E91">
              <w:rPr>
                <w:sz w:val="20"/>
                <w:szCs w:val="20"/>
              </w:rPr>
              <w:t xml:space="preserve"> 5</w:t>
            </w:r>
          </w:p>
        </w:tc>
        <w:tc>
          <w:tcPr>
            <w:tcW w:w="2858" w:type="dxa"/>
            <w:tcBorders>
              <w:top w:val="single" w:sz="4" w:space="0" w:color="auto"/>
              <w:left w:val="single" w:sz="4" w:space="0" w:color="auto"/>
              <w:bottom w:val="single" w:sz="4" w:space="0" w:color="auto"/>
              <w:right w:val="single" w:sz="4" w:space="0" w:color="auto"/>
            </w:tcBorders>
          </w:tcPr>
          <w:p w:rsidR="005B415B" w:rsidRPr="00D50E91" w:rsidRDefault="005B415B" w:rsidP="00B11587">
            <w:pPr>
              <w:autoSpaceDE w:val="0"/>
              <w:autoSpaceDN w:val="0"/>
              <w:adjustRightInd w:val="0"/>
              <w:ind w:left="56" w:right="56"/>
              <w:rPr>
                <w:sz w:val="20"/>
                <w:szCs w:val="20"/>
              </w:rPr>
            </w:pPr>
            <w:r w:rsidRPr="00D50E91">
              <w:rPr>
                <w:sz w:val="20"/>
                <w:szCs w:val="20"/>
              </w:rPr>
              <w:t>Eladótérben, tárolóhelyiségben, más tűzveszélyességi osztályú anyagokkal együtt, ha a kereskedelmi egység önálló tűzszakaszt képez</w:t>
            </w:r>
          </w:p>
        </w:tc>
        <w:tc>
          <w:tcPr>
            <w:tcW w:w="2340" w:type="dxa"/>
            <w:tcBorders>
              <w:top w:val="single" w:sz="4" w:space="0" w:color="auto"/>
              <w:left w:val="single" w:sz="4" w:space="0" w:color="auto"/>
              <w:bottom w:val="single" w:sz="4" w:space="0" w:color="auto"/>
              <w:right w:val="single" w:sz="4" w:space="0" w:color="auto"/>
            </w:tcBorders>
          </w:tcPr>
          <w:p w:rsidR="005B415B" w:rsidRPr="00D50E91" w:rsidRDefault="005B415B" w:rsidP="00CC66C3">
            <w:pPr>
              <w:autoSpaceDE w:val="0"/>
              <w:autoSpaceDN w:val="0"/>
              <w:adjustRightInd w:val="0"/>
              <w:jc w:val="center"/>
              <w:rPr>
                <w:sz w:val="20"/>
                <w:szCs w:val="20"/>
              </w:rPr>
            </w:pPr>
            <w:r w:rsidRPr="00D50E91">
              <w:rPr>
                <w:sz w:val="20"/>
                <w:szCs w:val="20"/>
              </w:rPr>
              <w:t>van</w:t>
            </w:r>
          </w:p>
        </w:tc>
        <w:tc>
          <w:tcPr>
            <w:tcW w:w="1601" w:type="dxa"/>
            <w:tcBorders>
              <w:top w:val="single" w:sz="4" w:space="0" w:color="auto"/>
              <w:left w:val="single" w:sz="4" w:space="0" w:color="auto"/>
              <w:bottom w:val="single" w:sz="4" w:space="0" w:color="auto"/>
              <w:right w:val="single" w:sz="4" w:space="0" w:color="auto"/>
            </w:tcBorders>
          </w:tcPr>
          <w:p w:rsidR="005B415B" w:rsidRPr="00D50E91" w:rsidRDefault="005B415B" w:rsidP="00CC66C3">
            <w:pPr>
              <w:autoSpaceDE w:val="0"/>
              <w:autoSpaceDN w:val="0"/>
              <w:adjustRightInd w:val="0"/>
              <w:jc w:val="center"/>
              <w:rPr>
                <w:sz w:val="20"/>
                <w:szCs w:val="20"/>
              </w:rPr>
            </w:pPr>
            <w:r w:rsidRPr="00D50E91">
              <w:rPr>
                <w:sz w:val="20"/>
                <w:szCs w:val="20"/>
              </w:rPr>
              <w:t>4.500</w:t>
            </w:r>
          </w:p>
        </w:tc>
        <w:tc>
          <w:tcPr>
            <w:tcW w:w="1560" w:type="dxa"/>
            <w:tcBorders>
              <w:top w:val="single" w:sz="4" w:space="0" w:color="auto"/>
              <w:left w:val="single" w:sz="4" w:space="0" w:color="auto"/>
              <w:bottom w:val="single" w:sz="4" w:space="0" w:color="auto"/>
              <w:right w:val="single" w:sz="4" w:space="0" w:color="auto"/>
            </w:tcBorders>
          </w:tcPr>
          <w:p w:rsidR="005B415B" w:rsidRPr="00D50E91" w:rsidRDefault="005B415B" w:rsidP="00CC66C3">
            <w:pPr>
              <w:autoSpaceDE w:val="0"/>
              <w:autoSpaceDN w:val="0"/>
              <w:adjustRightInd w:val="0"/>
              <w:jc w:val="center"/>
              <w:rPr>
                <w:sz w:val="20"/>
                <w:szCs w:val="20"/>
              </w:rPr>
            </w:pPr>
            <w:r w:rsidRPr="00D50E91">
              <w:rPr>
                <w:sz w:val="20"/>
                <w:szCs w:val="20"/>
              </w:rPr>
              <w:t>9.000</w:t>
            </w:r>
          </w:p>
        </w:tc>
        <w:tc>
          <w:tcPr>
            <w:tcW w:w="2700" w:type="dxa"/>
            <w:tcBorders>
              <w:top w:val="single" w:sz="4" w:space="0" w:color="auto"/>
              <w:left w:val="single" w:sz="4" w:space="0" w:color="auto"/>
              <w:bottom w:val="single" w:sz="4" w:space="0" w:color="auto"/>
              <w:right w:val="single" w:sz="4" w:space="0" w:color="auto"/>
            </w:tcBorders>
          </w:tcPr>
          <w:p w:rsidR="005B415B" w:rsidRPr="00D50E91" w:rsidRDefault="005B415B" w:rsidP="00CC66C3">
            <w:pPr>
              <w:autoSpaceDE w:val="0"/>
              <w:autoSpaceDN w:val="0"/>
              <w:adjustRightInd w:val="0"/>
              <w:jc w:val="center"/>
              <w:rPr>
                <w:sz w:val="20"/>
                <w:szCs w:val="20"/>
              </w:rPr>
            </w:pPr>
            <w:r w:rsidRPr="00D50E91">
              <w:rPr>
                <w:sz w:val="20"/>
                <w:szCs w:val="20"/>
              </w:rPr>
              <w:t>9.000</w:t>
            </w:r>
          </w:p>
        </w:tc>
      </w:tr>
    </w:tbl>
    <w:p w:rsidR="005B415B" w:rsidRPr="00D50E91" w:rsidRDefault="005B415B" w:rsidP="00595B18">
      <w:pPr>
        <w:jc w:val="both"/>
      </w:pPr>
    </w:p>
    <w:p w:rsidR="005B415B" w:rsidRPr="00D50E91" w:rsidRDefault="005B415B" w:rsidP="00595B18">
      <w:pPr>
        <w:jc w:val="both"/>
      </w:pPr>
    </w:p>
    <w:p w:rsidR="00151389" w:rsidRPr="00D50E91" w:rsidRDefault="00151389" w:rsidP="00595B18">
      <w:pPr>
        <w:jc w:val="both"/>
      </w:pPr>
    </w:p>
    <w:p w:rsidR="00151389" w:rsidRPr="00D50E91" w:rsidRDefault="00151389" w:rsidP="00595B18">
      <w:pPr>
        <w:jc w:val="both"/>
      </w:pPr>
    </w:p>
    <w:p w:rsidR="00151389" w:rsidRPr="00D50E91" w:rsidRDefault="00151389" w:rsidP="00595B18">
      <w:pPr>
        <w:jc w:val="both"/>
      </w:pPr>
    </w:p>
    <w:p w:rsidR="005B415B" w:rsidRPr="00D50E91" w:rsidRDefault="005B415B" w:rsidP="00595B18">
      <w:pPr>
        <w:jc w:val="both"/>
        <w:rPr>
          <w:b/>
          <w:sz w:val="20"/>
          <w:szCs w:val="20"/>
        </w:rPr>
      </w:pPr>
      <w:r w:rsidRPr="00D50E91">
        <w:rPr>
          <w:b/>
          <w:sz w:val="20"/>
          <w:szCs w:val="20"/>
        </w:rPr>
        <w:t>2. táblázat, az Éghető folyadékok és gázok használati szabályai fejezethez</w:t>
      </w:r>
    </w:p>
    <w:p w:rsidR="005B415B" w:rsidRPr="00D50E91" w:rsidRDefault="005B415B" w:rsidP="00595B18">
      <w:pPr>
        <w:jc w:val="both"/>
      </w:pPr>
    </w:p>
    <w:tbl>
      <w:tblPr>
        <w:tblW w:w="0" w:type="auto"/>
        <w:tblInd w:w="5" w:type="dxa"/>
        <w:tblLayout w:type="fixed"/>
        <w:tblCellMar>
          <w:left w:w="0" w:type="dxa"/>
          <w:right w:w="0" w:type="dxa"/>
        </w:tblCellMar>
        <w:tblLook w:val="0000" w:firstRow="0" w:lastRow="0" w:firstColumn="0" w:lastColumn="0" w:noHBand="0" w:noVBand="0"/>
      </w:tblPr>
      <w:tblGrid>
        <w:gridCol w:w="532"/>
        <w:gridCol w:w="2676"/>
        <w:gridCol w:w="3210"/>
        <w:gridCol w:w="3210"/>
      </w:tblGrid>
      <w:tr w:rsidR="005B415B" w:rsidRPr="00D50E91" w:rsidTr="0002612B">
        <w:tc>
          <w:tcPr>
            <w:tcW w:w="532" w:type="dxa"/>
            <w:tcBorders>
              <w:top w:val="single" w:sz="4" w:space="0" w:color="auto"/>
              <w:left w:val="single" w:sz="4" w:space="0" w:color="auto"/>
              <w:bottom w:val="single" w:sz="4" w:space="0" w:color="auto"/>
              <w:right w:val="single" w:sz="4" w:space="0" w:color="auto"/>
            </w:tcBorders>
          </w:tcPr>
          <w:p w:rsidR="005B415B" w:rsidRPr="00D50E91" w:rsidRDefault="005B415B" w:rsidP="0002612B">
            <w:pPr>
              <w:autoSpaceDE w:val="0"/>
              <w:autoSpaceDN w:val="0"/>
              <w:adjustRightInd w:val="0"/>
              <w:rPr>
                <w:sz w:val="20"/>
                <w:szCs w:val="20"/>
              </w:rPr>
            </w:pPr>
          </w:p>
        </w:tc>
        <w:tc>
          <w:tcPr>
            <w:tcW w:w="2676" w:type="dxa"/>
            <w:tcBorders>
              <w:top w:val="single" w:sz="4" w:space="0" w:color="auto"/>
              <w:left w:val="single" w:sz="4" w:space="0" w:color="auto"/>
              <w:bottom w:val="single" w:sz="4" w:space="0" w:color="auto"/>
              <w:right w:val="single" w:sz="4" w:space="0" w:color="auto"/>
            </w:tcBorders>
          </w:tcPr>
          <w:p w:rsidR="005B415B" w:rsidRPr="00D50E91" w:rsidRDefault="005B415B" w:rsidP="0002612B">
            <w:pPr>
              <w:autoSpaceDE w:val="0"/>
              <w:autoSpaceDN w:val="0"/>
              <w:adjustRightInd w:val="0"/>
              <w:ind w:left="56" w:right="56"/>
              <w:jc w:val="center"/>
              <w:rPr>
                <w:bCs/>
                <w:sz w:val="20"/>
                <w:szCs w:val="20"/>
              </w:rPr>
            </w:pPr>
            <w:r w:rsidRPr="00D50E91">
              <w:rPr>
                <w:sz w:val="20"/>
                <w:szCs w:val="20"/>
              </w:rPr>
              <w:t xml:space="preserve"> </w:t>
            </w:r>
            <w:r w:rsidRPr="00D50E91">
              <w:rPr>
                <w:bCs/>
                <w:sz w:val="20"/>
                <w:szCs w:val="20"/>
              </w:rPr>
              <w:t>A</w:t>
            </w:r>
          </w:p>
        </w:tc>
        <w:tc>
          <w:tcPr>
            <w:tcW w:w="3210" w:type="dxa"/>
            <w:tcBorders>
              <w:top w:val="single" w:sz="4" w:space="0" w:color="auto"/>
              <w:left w:val="single" w:sz="4" w:space="0" w:color="auto"/>
              <w:bottom w:val="single" w:sz="4" w:space="0" w:color="auto"/>
              <w:right w:val="single" w:sz="4" w:space="0" w:color="auto"/>
            </w:tcBorders>
          </w:tcPr>
          <w:p w:rsidR="005B415B" w:rsidRPr="00D50E91" w:rsidRDefault="005B415B" w:rsidP="00D96EF3">
            <w:pPr>
              <w:autoSpaceDE w:val="0"/>
              <w:autoSpaceDN w:val="0"/>
              <w:adjustRightInd w:val="0"/>
              <w:ind w:left="56" w:right="56"/>
              <w:jc w:val="center"/>
              <w:rPr>
                <w:sz w:val="20"/>
                <w:szCs w:val="20"/>
              </w:rPr>
            </w:pPr>
            <w:r w:rsidRPr="00D50E91">
              <w:rPr>
                <w:sz w:val="20"/>
                <w:szCs w:val="20"/>
              </w:rPr>
              <w:t xml:space="preserve"> </w:t>
            </w:r>
            <w:r w:rsidR="00D96EF3" w:rsidRPr="00D50E91">
              <w:rPr>
                <w:sz w:val="20"/>
                <w:szCs w:val="20"/>
              </w:rPr>
              <w:t>B</w:t>
            </w:r>
          </w:p>
        </w:tc>
        <w:tc>
          <w:tcPr>
            <w:tcW w:w="3210" w:type="dxa"/>
            <w:tcBorders>
              <w:top w:val="single" w:sz="4" w:space="0" w:color="auto"/>
              <w:left w:val="single" w:sz="4" w:space="0" w:color="auto"/>
              <w:bottom w:val="single" w:sz="4" w:space="0" w:color="auto"/>
              <w:right w:val="single" w:sz="4" w:space="0" w:color="auto"/>
            </w:tcBorders>
          </w:tcPr>
          <w:p w:rsidR="005B415B" w:rsidRPr="00D50E91" w:rsidRDefault="005B415B" w:rsidP="00D96EF3">
            <w:pPr>
              <w:autoSpaceDE w:val="0"/>
              <w:autoSpaceDN w:val="0"/>
              <w:adjustRightInd w:val="0"/>
              <w:ind w:left="56" w:right="56"/>
              <w:jc w:val="center"/>
              <w:rPr>
                <w:sz w:val="20"/>
                <w:szCs w:val="20"/>
              </w:rPr>
            </w:pPr>
            <w:r w:rsidRPr="00D50E91">
              <w:rPr>
                <w:sz w:val="20"/>
                <w:szCs w:val="20"/>
              </w:rPr>
              <w:t xml:space="preserve"> </w:t>
            </w:r>
            <w:r w:rsidR="00D96EF3" w:rsidRPr="00D50E91">
              <w:rPr>
                <w:sz w:val="20"/>
                <w:szCs w:val="20"/>
              </w:rPr>
              <w:t>C</w:t>
            </w:r>
          </w:p>
        </w:tc>
      </w:tr>
      <w:tr w:rsidR="005B415B" w:rsidRPr="00D50E91" w:rsidTr="0002612B">
        <w:tc>
          <w:tcPr>
            <w:tcW w:w="532" w:type="dxa"/>
            <w:tcBorders>
              <w:top w:val="single" w:sz="4" w:space="0" w:color="auto"/>
              <w:left w:val="single" w:sz="4" w:space="0" w:color="auto"/>
              <w:bottom w:val="single" w:sz="4" w:space="0" w:color="auto"/>
              <w:right w:val="single" w:sz="4" w:space="0" w:color="auto"/>
            </w:tcBorders>
          </w:tcPr>
          <w:p w:rsidR="005B415B" w:rsidRPr="00D50E91" w:rsidRDefault="005B415B" w:rsidP="0002612B">
            <w:pPr>
              <w:autoSpaceDE w:val="0"/>
              <w:autoSpaceDN w:val="0"/>
              <w:adjustRightInd w:val="0"/>
              <w:ind w:left="56" w:right="56"/>
              <w:jc w:val="center"/>
              <w:rPr>
                <w:sz w:val="20"/>
                <w:szCs w:val="20"/>
              </w:rPr>
            </w:pPr>
            <w:r w:rsidRPr="00D50E91">
              <w:rPr>
                <w:b/>
                <w:sz w:val="20"/>
                <w:szCs w:val="20"/>
              </w:rPr>
              <w:t xml:space="preserve"> </w:t>
            </w:r>
            <w:r w:rsidRPr="00D50E91">
              <w:rPr>
                <w:sz w:val="20"/>
                <w:szCs w:val="20"/>
              </w:rPr>
              <w:t>1</w:t>
            </w:r>
          </w:p>
        </w:tc>
        <w:tc>
          <w:tcPr>
            <w:tcW w:w="2676" w:type="dxa"/>
            <w:tcBorders>
              <w:top w:val="single" w:sz="4" w:space="0" w:color="auto"/>
              <w:left w:val="single" w:sz="4" w:space="0" w:color="auto"/>
              <w:bottom w:val="single" w:sz="4" w:space="0" w:color="auto"/>
              <w:right w:val="single" w:sz="4" w:space="0" w:color="auto"/>
            </w:tcBorders>
          </w:tcPr>
          <w:p w:rsidR="005B415B" w:rsidRPr="00D50E91" w:rsidRDefault="005B415B" w:rsidP="0002612B">
            <w:pPr>
              <w:autoSpaceDE w:val="0"/>
              <w:autoSpaceDN w:val="0"/>
              <w:adjustRightInd w:val="0"/>
              <w:ind w:left="56" w:right="56"/>
              <w:jc w:val="center"/>
              <w:rPr>
                <w:b/>
                <w:sz w:val="20"/>
                <w:szCs w:val="20"/>
              </w:rPr>
            </w:pPr>
            <w:r w:rsidRPr="00D50E91">
              <w:rPr>
                <w:b/>
                <w:sz w:val="20"/>
                <w:szCs w:val="20"/>
              </w:rPr>
              <w:t xml:space="preserve"> A helyiség alapterülete (m2)</w:t>
            </w:r>
          </w:p>
        </w:tc>
        <w:tc>
          <w:tcPr>
            <w:tcW w:w="3210" w:type="dxa"/>
            <w:tcBorders>
              <w:top w:val="single" w:sz="4" w:space="0" w:color="auto"/>
              <w:left w:val="single" w:sz="4" w:space="0" w:color="auto"/>
              <w:bottom w:val="single" w:sz="4" w:space="0" w:color="auto"/>
              <w:right w:val="single" w:sz="4" w:space="0" w:color="auto"/>
            </w:tcBorders>
          </w:tcPr>
          <w:p w:rsidR="005B415B" w:rsidRPr="00D50E91" w:rsidRDefault="005B415B" w:rsidP="0002612B">
            <w:pPr>
              <w:autoSpaceDE w:val="0"/>
              <w:autoSpaceDN w:val="0"/>
              <w:adjustRightInd w:val="0"/>
              <w:ind w:left="56" w:right="56"/>
              <w:jc w:val="center"/>
              <w:rPr>
                <w:b/>
                <w:sz w:val="20"/>
                <w:szCs w:val="20"/>
              </w:rPr>
            </w:pPr>
            <w:r w:rsidRPr="00D50E91">
              <w:rPr>
                <w:b/>
                <w:sz w:val="20"/>
                <w:szCs w:val="20"/>
              </w:rPr>
              <w:t>Fokozottan tűz</w:t>
            </w:r>
            <w:r w:rsidR="003528A8">
              <w:rPr>
                <w:b/>
                <w:sz w:val="20"/>
                <w:szCs w:val="20"/>
              </w:rPr>
              <w:t>-</w:t>
            </w:r>
            <w:r w:rsidRPr="00D50E91">
              <w:rPr>
                <w:b/>
                <w:sz w:val="20"/>
                <w:szCs w:val="20"/>
              </w:rPr>
              <w:t xml:space="preserve"> vagy robbanásveszélyes</w:t>
            </w:r>
            <w:r w:rsidRPr="00D50E91">
              <w:rPr>
                <w:b/>
                <w:color w:val="FF0000"/>
                <w:sz w:val="20"/>
                <w:szCs w:val="20"/>
              </w:rPr>
              <w:t xml:space="preserve"> </w:t>
            </w:r>
            <w:r w:rsidRPr="00D50E91">
              <w:rPr>
                <w:b/>
                <w:sz w:val="20"/>
                <w:szCs w:val="20"/>
              </w:rPr>
              <w:t>folyadékok aeroszol megengedett mennyisége (liter)</w:t>
            </w:r>
          </w:p>
        </w:tc>
        <w:tc>
          <w:tcPr>
            <w:tcW w:w="3210" w:type="dxa"/>
            <w:tcBorders>
              <w:top w:val="single" w:sz="4" w:space="0" w:color="auto"/>
              <w:left w:val="single" w:sz="4" w:space="0" w:color="auto"/>
              <w:bottom w:val="single" w:sz="4" w:space="0" w:color="auto"/>
              <w:right w:val="single" w:sz="4" w:space="0" w:color="auto"/>
            </w:tcBorders>
          </w:tcPr>
          <w:p w:rsidR="005B415B" w:rsidRPr="00D50E91" w:rsidRDefault="005B415B" w:rsidP="0002612B">
            <w:pPr>
              <w:autoSpaceDE w:val="0"/>
              <w:autoSpaceDN w:val="0"/>
              <w:adjustRightInd w:val="0"/>
              <w:ind w:left="56" w:right="56"/>
              <w:jc w:val="center"/>
              <w:rPr>
                <w:b/>
                <w:sz w:val="20"/>
                <w:szCs w:val="20"/>
              </w:rPr>
            </w:pPr>
            <w:r w:rsidRPr="00D50E91">
              <w:rPr>
                <w:b/>
                <w:sz w:val="20"/>
                <w:szCs w:val="20"/>
              </w:rPr>
              <w:t xml:space="preserve"> III. tűzveszélyességi fokozatú folyadék megengedett mennyisége (liter)</w:t>
            </w:r>
          </w:p>
        </w:tc>
      </w:tr>
      <w:tr w:rsidR="005B415B" w:rsidRPr="00D50E91" w:rsidTr="0002612B">
        <w:tc>
          <w:tcPr>
            <w:tcW w:w="532" w:type="dxa"/>
            <w:tcBorders>
              <w:top w:val="single" w:sz="4" w:space="0" w:color="auto"/>
              <w:left w:val="single" w:sz="4" w:space="0" w:color="auto"/>
              <w:bottom w:val="single" w:sz="4" w:space="0" w:color="auto"/>
              <w:right w:val="single" w:sz="4" w:space="0" w:color="auto"/>
            </w:tcBorders>
          </w:tcPr>
          <w:p w:rsidR="005B415B" w:rsidRPr="00D50E91" w:rsidRDefault="005B415B" w:rsidP="0002612B">
            <w:pPr>
              <w:autoSpaceDE w:val="0"/>
              <w:autoSpaceDN w:val="0"/>
              <w:adjustRightInd w:val="0"/>
              <w:ind w:left="56" w:right="56"/>
              <w:jc w:val="center"/>
              <w:rPr>
                <w:sz w:val="20"/>
                <w:szCs w:val="20"/>
              </w:rPr>
            </w:pPr>
            <w:r w:rsidRPr="00D50E91">
              <w:rPr>
                <w:sz w:val="20"/>
                <w:szCs w:val="20"/>
              </w:rPr>
              <w:t xml:space="preserve"> 2</w:t>
            </w:r>
          </w:p>
        </w:tc>
        <w:tc>
          <w:tcPr>
            <w:tcW w:w="2676" w:type="dxa"/>
            <w:tcBorders>
              <w:top w:val="single" w:sz="4" w:space="0" w:color="auto"/>
              <w:left w:val="single" w:sz="4" w:space="0" w:color="auto"/>
              <w:bottom w:val="single" w:sz="4" w:space="0" w:color="auto"/>
              <w:right w:val="single" w:sz="4" w:space="0" w:color="auto"/>
            </w:tcBorders>
          </w:tcPr>
          <w:p w:rsidR="005B415B" w:rsidRPr="00D50E91" w:rsidRDefault="005B415B" w:rsidP="0002612B">
            <w:pPr>
              <w:autoSpaceDE w:val="0"/>
              <w:autoSpaceDN w:val="0"/>
              <w:adjustRightInd w:val="0"/>
              <w:ind w:left="56" w:right="56"/>
              <w:jc w:val="center"/>
              <w:rPr>
                <w:sz w:val="20"/>
                <w:szCs w:val="20"/>
              </w:rPr>
            </w:pPr>
            <w:r w:rsidRPr="00D50E91">
              <w:rPr>
                <w:sz w:val="20"/>
                <w:szCs w:val="20"/>
              </w:rPr>
              <w:t xml:space="preserve"> 0</w:t>
            </w:r>
            <w:r w:rsidR="003528A8">
              <w:rPr>
                <w:sz w:val="20"/>
                <w:szCs w:val="20"/>
              </w:rPr>
              <w:t>-</w:t>
            </w:r>
            <w:r w:rsidRPr="00D50E91">
              <w:rPr>
                <w:sz w:val="20"/>
                <w:szCs w:val="20"/>
              </w:rPr>
              <w:t>50</w:t>
            </w:r>
          </w:p>
        </w:tc>
        <w:tc>
          <w:tcPr>
            <w:tcW w:w="3210" w:type="dxa"/>
            <w:tcBorders>
              <w:top w:val="single" w:sz="4" w:space="0" w:color="auto"/>
              <w:left w:val="single" w:sz="4" w:space="0" w:color="auto"/>
              <w:bottom w:val="single" w:sz="4" w:space="0" w:color="auto"/>
              <w:right w:val="single" w:sz="4" w:space="0" w:color="auto"/>
            </w:tcBorders>
          </w:tcPr>
          <w:p w:rsidR="005B415B" w:rsidRPr="00D50E91" w:rsidRDefault="005B415B" w:rsidP="0002612B">
            <w:pPr>
              <w:autoSpaceDE w:val="0"/>
              <w:autoSpaceDN w:val="0"/>
              <w:adjustRightInd w:val="0"/>
              <w:ind w:left="56" w:right="56"/>
              <w:jc w:val="center"/>
              <w:rPr>
                <w:sz w:val="20"/>
                <w:szCs w:val="20"/>
              </w:rPr>
            </w:pPr>
            <w:r w:rsidRPr="00D50E91">
              <w:rPr>
                <w:sz w:val="20"/>
                <w:szCs w:val="20"/>
              </w:rPr>
              <w:t xml:space="preserve"> 10</w:t>
            </w:r>
          </w:p>
        </w:tc>
        <w:tc>
          <w:tcPr>
            <w:tcW w:w="3210" w:type="dxa"/>
            <w:tcBorders>
              <w:top w:val="single" w:sz="4" w:space="0" w:color="auto"/>
              <w:left w:val="single" w:sz="4" w:space="0" w:color="auto"/>
              <w:bottom w:val="single" w:sz="4" w:space="0" w:color="auto"/>
              <w:right w:val="single" w:sz="4" w:space="0" w:color="auto"/>
            </w:tcBorders>
          </w:tcPr>
          <w:p w:rsidR="005B415B" w:rsidRPr="00D50E91" w:rsidRDefault="005B415B" w:rsidP="0002612B">
            <w:pPr>
              <w:autoSpaceDE w:val="0"/>
              <w:autoSpaceDN w:val="0"/>
              <w:adjustRightInd w:val="0"/>
              <w:ind w:left="56" w:right="56"/>
              <w:jc w:val="center"/>
              <w:rPr>
                <w:sz w:val="20"/>
                <w:szCs w:val="20"/>
              </w:rPr>
            </w:pPr>
            <w:r w:rsidRPr="00D50E91">
              <w:rPr>
                <w:sz w:val="20"/>
                <w:szCs w:val="20"/>
              </w:rPr>
              <w:t xml:space="preserve"> 30</w:t>
            </w:r>
          </w:p>
        </w:tc>
      </w:tr>
      <w:tr w:rsidR="005B415B" w:rsidRPr="00D50E91" w:rsidTr="0002612B">
        <w:tc>
          <w:tcPr>
            <w:tcW w:w="532" w:type="dxa"/>
            <w:tcBorders>
              <w:top w:val="single" w:sz="4" w:space="0" w:color="auto"/>
              <w:left w:val="single" w:sz="4" w:space="0" w:color="auto"/>
              <w:bottom w:val="single" w:sz="4" w:space="0" w:color="auto"/>
              <w:right w:val="single" w:sz="4" w:space="0" w:color="auto"/>
            </w:tcBorders>
          </w:tcPr>
          <w:p w:rsidR="005B415B" w:rsidRPr="00D50E91" w:rsidRDefault="005B415B" w:rsidP="0002612B">
            <w:pPr>
              <w:autoSpaceDE w:val="0"/>
              <w:autoSpaceDN w:val="0"/>
              <w:adjustRightInd w:val="0"/>
              <w:ind w:left="56" w:right="56"/>
              <w:jc w:val="center"/>
              <w:rPr>
                <w:sz w:val="20"/>
                <w:szCs w:val="20"/>
              </w:rPr>
            </w:pPr>
            <w:r w:rsidRPr="00D50E91">
              <w:rPr>
                <w:sz w:val="20"/>
                <w:szCs w:val="20"/>
              </w:rPr>
              <w:t xml:space="preserve"> 3</w:t>
            </w:r>
          </w:p>
        </w:tc>
        <w:tc>
          <w:tcPr>
            <w:tcW w:w="2676" w:type="dxa"/>
            <w:tcBorders>
              <w:top w:val="single" w:sz="4" w:space="0" w:color="auto"/>
              <w:left w:val="single" w:sz="4" w:space="0" w:color="auto"/>
              <w:bottom w:val="single" w:sz="4" w:space="0" w:color="auto"/>
              <w:right w:val="single" w:sz="4" w:space="0" w:color="auto"/>
            </w:tcBorders>
          </w:tcPr>
          <w:p w:rsidR="005B415B" w:rsidRPr="00D50E91" w:rsidRDefault="005B415B" w:rsidP="0002612B">
            <w:pPr>
              <w:autoSpaceDE w:val="0"/>
              <w:autoSpaceDN w:val="0"/>
              <w:adjustRightInd w:val="0"/>
              <w:ind w:left="56" w:right="56"/>
              <w:jc w:val="center"/>
              <w:rPr>
                <w:sz w:val="20"/>
                <w:szCs w:val="20"/>
              </w:rPr>
            </w:pPr>
            <w:r w:rsidRPr="00D50E91">
              <w:rPr>
                <w:sz w:val="20"/>
                <w:szCs w:val="20"/>
              </w:rPr>
              <w:t xml:space="preserve"> 50</w:t>
            </w:r>
            <w:r w:rsidR="003528A8">
              <w:rPr>
                <w:sz w:val="20"/>
                <w:szCs w:val="20"/>
              </w:rPr>
              <w:t>-</w:t>
            </w:r>
            <w:r w:rsidRPr="00D50E91">
              <w:rPr>
                <w:sz w:val="20"/>
                <w:szCs w:val="20"/>
              </w:rPr>
              <w:t>500</w:t>
            </w:r>
          </w:p>
        </w:tc>
        <w:tc>
          <w:tcPr>
            <w:tcW w:w="3210" w:type="dxa"/>
            <w:tcBorders>
              <w:top w:val="single" w:sz="4" w:space="0" w:color="auto"/>
              <w:left w:val="single" w:sz="4" w:space="0" w:color="auto"/>
              <w:bottom w:val="single" w:sz="4" w:space="0" w:color="auto"/>
              <w:right w:val="single" w:sz="4" w:space="0" w:color="auto"/>
            </w:tcBorders>
          </w:tcPr>
          <w:p w:rsidR="005B415B" w:rsidRPr="00D50E91" w:rsidRDefault="005B415B" w:rsidP="0002612B">
            <w:pPr>
              <w:autoSpaceDE w:val="0"/>
              <w:autoSpaceDN w:val="0"/>
              <w:adjustRightInd w:val="0"/>
              <w:ind w:left="56" w:right="56"/>
              <w:jc w:val="center"/>
              <w:rPr>
                <w:sz w:val="20"/>
                <w:szCs w:val="20"/>
              </w:rPr>
            </w:pPr>
            <w:r w:rsidRPr="00D50E91">
              <w:rPr>
                <w:sz w:val="20"/>
                <w:szCs w:val="20"/>
              </w:rPr>
              <w:t xml:space="preserve"> 20</w:t>
            </w:r>
          </w:p>
        </w:tc>
        <w:tc>
          <w:tcPr>
            <w:tcW w:w="3210" w:type="dxa"/>
            <w:tcBorders>
              <w:top w:val="single" w:sz="4" w:space="0" w:color="auto"/>
              <w:left w:val="single" w:sz="4" w:space="0" w:color="auto"/>
              <w:bottom w:val="single" w:sz="4" w:space="0" w:color="auto"/>
              <w:right w:val="single" w:sz="4" w:space="0" w:color="auto"/>
            </w:tcBorders>
          </w:tcPr>
          <w:p w:rsidR="005B415B" w:rsidRPr="00D50E91" w:rsidRDefault="005B415B" w:rsidP="0002612B">
            <w:pPr>
              <w:autoSpaceDE w:val="0"/>
              <w:autoSpaceDN w:val="0"/>
              <w:adjustRightInd w:val="0"/>
              <w:ind w:left="56" w:right="56"/>
              <w:jc w:val="center"/>
              <w:rPr>
                <w:sz w:val="20"/>
                <w:szCs w:val="20"/>
              </w:rPr>
            </w:pPr>
            <w:r w:rsidRPr="00D50E91">
              <w:rPr>
                <w:sz w:val="20"/>
                <w:szCs w:val="20"/>
              </w:rPr>
              <w:t xml:space="preserve"> 40</w:t>
            </w:r>
          </w:p>
        </w:tc>
      </w:tr>
      <w:tr w:rsidR="005B415B" w:rsidRPr="00D50E91" w:rsidTr="0002612B">
        <w:tc>
          <w:tcPr>
            <w:tcW w:w="532" w:type="dxa"/>
            <w:tcBorders>
              <w:top w:val="single" w:sz="4" w:space="0" w:color="auto"/>
              <w:left w:val="single" w:sz="4" w:space="0" w:color="auto"/>
              <w:bottom w:val="single" w:sz="4" w:space="0" w:color="auto"/>
              <w:right w:val="single" w:sz="4" w:space="0" w:color="auto"/>
            </w:tcBorders>
          </w:tcPr>
          <w:p w:rsidR="005B415B" w:rsidRPr="00D50E91" w:rsidRDefault="005B415B" w:rsidP="0002612B">
            <w:pPr>
              <w:autoSpaceDE w:val="0"/>
              <w:autoSpaceDN w:val="0"/>
              <w:adjustRightInd w:val="0"/>
              <w:ind w:left="56" w:right="56"/>
              <w:jc w:val="center"/>
              <w:rPr>
                <w:sz w:val="20"/>
                <w:szCs w:val="20"/>
              </w:rPr>
            </w:pPr>
            <w:r w:rsidRPr="00D50E91">
              <w:rPr>
                <w:sz w:val="20"/>
                <w:szCs w:val="20"/>
              </w:rPr>
              <w:t xml:space="preserve"> 4</w:t>
            </w:r>
          </w:p>
        </w:tc>
        <w:tc>
          <w:tcPr>
            <w:tcW w:w="2676" w:type="dxa"/>
            <w:tcBorders>
              <w:top w:val="single" w:sz="4" w:space="0" w:color="auto"/>
              <w:left w:val="single" w:sz="4" w:space="0" w:color="auto"/>
              <w:bottom w:val="single" w:sz="4" w:space="0" w:color="auto"/>
              <w:right w:val="single" w:sz="4" w:space="0" w:color="auto"/>
            </w:tcBorders>
          </w:tcPr>
          <w:p w:rsidR="005B415B" w:rsidRPr="00D50E91" w:rsidRDefault="005B415B" w:rsidP="0002612B">
            <w:pPr>
              <w:autoSpaceDE w:val="0"/>
              <w:autoSpaceDN w:val="0"/>
              <w:adjustRightInd w:val="0"/>
              <w:ind w:left="56" w:right="56"/>
              <w:jc w:val="center"/>
              <w:rPr>
                <w:sz w:val="20"/>
                <w:szCs w:val="20"/>
              </w:rPr>
            </w:pPr>
            <w:r w:rsidRPr="00D50E91">
              <w:rPr>
                <w:sz w:val="20"/>
                <w:szCs w:val="20"/>
              </w:rPr>
              <w:t xml:space="preserve"> 500</w:t>
            </w:r>
            <w:r w:rsidR="003528A8">
              <w:rPr>
                <w:sz w:val="20"/>
                <w:szCs w:val="20"/>
              </w:rPr>
              <w:t>-</w:t>
            </w:r>
          </w:p>
        </w:tc>
        <w:tc>
          <w:tcPr>
            <w:tcW w:w="3210" w:type="dxa"/>
            <w:tcBorders>
              <w:top w:val="single" w:sz="4" w:space="0" w:color="auto"/>
              <w:left w:val="single" w:sz="4" w:space="0" w:color="auto"/>
              <w:bottom w:val="single" w:sz="4" w:space="0" w:color="auto"/>
              <w:right w:val="single" w:sz="4" w:space="0" w:color="auto"/>
            </w:tcBorders>
          </w:tcPr>
          <w:p w:rsidR="005B415B" w:rsidRPr="00D50E91" w:rsidRDefault="005B415B" w:rsidP="0002612B">
            <w:pPr>
              <w:autoSpaceDE w:val="0"/>
              <w:autoSpaceDN w:val="0"/>
              <w:adjustRightInd w:val="0"/>
              <w:ind w:left="56" w:right="56"/>
              <w:jc w:val="center"/>
              <w:rPr>
                <w:sz w:val="20"/>
                <w:szCs w:val="20"/>
              </w:rPr>
            </w:pPr>
            <w:r w:rsidRPr="00D50E91">
              <w:rPr>
                <w:sz w:val="20"/>
                <w:szCs w:val="20"/>
              </w:rPr>
              <w:t xml:space="preserve"> 30</w:t>
            </w:r>
          </w:p>
        </w:tc>
        <w:tc>
          <w:tcPr>
            <w:tcW w:w="3210" w:type="dxa"/>
            <w:tcBorders>
              <w:top w:val="single" w:sz="4" w:space="0" w:color="auto"/>
              <w:left w:val="single" w:sz="4" w:space="0" w:color="auto"/>
              <w:bottom w:val="single" w:sz="4" w:space="0" w:color="auto"/>
              <w:right w:val="single" w:sz="4" w:space="0" w:color="auto"/>
            </w:tcBorders>
          </w:tcPr>
          <w:p w:rsidR="005B415B" w:rsidRPr="00D50E91" w:rsidRDefault="005B415B" w:rsidP="0002612B">
            <w:pPr>
              <w:autoSpaceDE w:val="0"/>
              <w:autoSpaceDN w:val="0"/>
              <w:adjustRightInd w:val="0"/>
              <w:ind w:left="56" w:right="56"/>
              <w:jc w:val="center"/>
              <w:rPr>
                <w:sz w:val="20"/>
                <w:szCs w:val="20"/>
              </w:rPr>
            </w:pPr>
            <w:r w:rsidRPr="00D50E91">
              <w:rPr>
                <w:sz w:val="20"/>
                <w:szCs w:val="20"/>
              </w:rPr>
              <w:t xml:space="preserve"> 60</w:t>
            </w:r>
          </w:p>
        </w:tc>
      </w:tr>
    </w:tbl>
    <w:p w:rsidR="005B415B" w:rsidRPr="00D50E91" w:rsidRDefault="005B415B" w:rsidP="00595B18">
      <w:pPr>
        <w:jc w:val="both"/>
      </w:pPr>
    </w:p>
    <w:p w:rsidR="005B415B" w:rsidRPr="00D50E91" w:rsidRDefault="005B415B" w:rsidP="00595B18">
      <w:pPr>
        <w:jc w:val="both"/>
      </w:pPr>
    </w:p>
    <w:p w:rsidR="005B415B" w:rsidRPr="00D50E91" w:rsidRDefault="005B415B" w:rsidP="00A57512">
      <w:pPr>
        <w:pStyle w:val="Kpalrs"/>
      </w:pPr>
      <w:r w:rsidRPr="00D50E91">
        <w:t>3. táblázat, az Éghető folyadékok és gázok használati szabályai fejezethez</w:t>
      </w:r>
    </w:p>
    <w:p w:rsidR="005B415B" w:rsidRPr="00D50E91" w:rsidRDefault="005B415B" w:rsidP="00A57512">
      <w:pPr>
        <w:pStyle w:val="Cmsor4"/>
        <w:ind w:right="5104"/>
        <w:jc w:val="center"/>
        <w:rPr>
          <w:b w:val="0"/>
          <w:i/>
          <w:sz w:val="20"/>
          <w:szCs w:val="20"/>
        </w:rPr>
      </w:pPr>
      <w:r w:rsidRPr="00D50E91">
        <w:rPr>
          <w:b w:val="0"/>
          <w:i/>
          <w:sz w:val="20"/>
          <w:szCs w:val="20"/>
        </w:rPr>
        <w:t>A PB</w:t>
      </w:r>
      <w:r w:rsidR="003528A8">
        <w:rPr>
          <w:b w:val="0"/>
          <w:i/>
          <w:sz w:val="20"/>
          <w:szCs w:val="20"/>
        </w:rPr>
        <w:t>-</w:t>
      </w:r>
      <w:r w:rsidRPr="00D50E91">
        <w:rPr>
          <w:b w:val="0"/>
          <w:i/>
          <w:sz w:val="20"/>
          <w:szCs w:val="20"/>
        </w:rPr>
        <w:t>gáz cseretelepeken szükséges tűzoltó készülék</w:t>
      </w:r>
    </w:p>
    <w:tbl>
      <w:tblPr>
        <w:tblW w:w="0" w:type="auto"/>
        <w:tblInd w:w="5" w:type="dxa"/>
        <w:tblLayout w:type="fixed"/>
        <w:tblCellMar>
          <w:left w:w="0" w:type="dxa"/>
          <w:right w:w="0" w:type="dxa"/>
        </w:tblCellMar>
        <w:tblLook w:val="0000" w:firstRow="0" w:lastRow="0" w:firstColumn="0" w:lastColumn="0" w:noHBand="0" w:noVBand="0"/>
      </w:tblPr>
      <w:tblGrid>
        <w:gridCol w:w="562"/>
        <w:gridCol w:w="3402"/>
        <w:gridCol w:w="5670"/>
      </w:tblGrid>
      <w:tr w:rsidR="005B415B" w:rsidRPr="00D50E91" w:rsidTr="00C65880">
        <w:tc>
          <w:tcPr>
            <w:tcW w:w="56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rPr>
                <w:sz w:val="20"/>
                <w:szCs w:val="20"/>
              </w:rPr>
            </w:pPr>
            <w:r w:rsidRPr="00D50E91">
              <w:rPr>
                <w:sz w:val="20"/>
                <w:szCs w:val="20"/>
              </w:rPr>
              <w:t xml:space="preserve"> </w:t>
            </w:r>
          </w:p>
        </w:tc>
        <w:tc>
          <w:tcPr>
            <w:tcW w:w="340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A</w:t>
            </w:r>
          </w:p>
        </w:tc>
        <w:tc>
          <w:tcPr>
            <w:tcW w:w="567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B</w:t>
            </w:r>
          </w:p>
        </w:tc>
      </w:tr>
      <w:tr w:rsidR="005B415B" w:rsidRPr="00D50E91" w:rsidTr="00C65880">
        <w:tc>
          <w:tcPr>
            <w:tcW w:w="56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w:t>
            </w:r>
          </w:p>
        </w:tc>
        <w:tc>
          <w:tcPr>
            <w:tcW w:w="340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rPr>
                <w:sz w:val="20"/>
                <w:szCs w:val="20"/>
              </w:rPr>
            </w:pPr>
            <w:r w:rsidRPr="00D50E91">
              <w:rPr>
                <w:sz w:val="20"/>
                <w:szCs w:val="20"/>
              </w:rPr>
              <w:t xml:space="preserve"> „1” kategória esetén</w:t>
            </w:r>
          </w:p>
        </w:tc>
        <w:tc>
          <w:tcPr>
            <w:tcW w:w="567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rPr>
                <w:sz w:val="20"/>
                <w:szCs w:val="20"/>
              </w:rPr>
            </w:pPr>
            <w:r w:rsidRPr="00D50E91">
              <w:rPr>
                <w:sz w:val="20"/>
                <w:szCs w:val="20"/>
              </w:rPr>
              <w:t xml:space="preserve"> 1 db 43A, 233B és C tűzoltási teljesítményű</w:t>
            </w:r>
          </w:p>
        </w:tc>
      </w:tr>
      <w:tr w:rsidR="005B415B" w:rsidRPr="00D50E91" w:rsidTr="00C65880">
        <w:tc>
          <w:tcPr>
            <w:tcW w:w="56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2</w:t>
            </w:r>
          </w:p>
        </w:tc>
        <w:tc>
          <w:tcPr>
            <w:tcW w:w="340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rPr>
                <w:sz w:val="20"/>
                <w:szCs w:val="20"/>
              </w:rPr>
            </w:pPr>
            <w:r w:rsidRPr="00D50E91">
              <w:rPr>
                <w:sz w:val="20"/>
                <w:szCs w:val="20"/>
              </w:rPr>
              <w:t xml:space="preserve"> „2” kategória esetén</w:t>
            </w:r>
          </w:p>
        </w:tc>
        <w:tc>
          <w:tcPr>
            <w:tcW w:w="567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rPr>
                <w:sz w:val="20"/>
                <w:szCs w:val="20"/>
              </w:rPr>
            </w:pPr>
            <w:r w:rsidRPr="00D50E91">
              <w:rPr>
                <w:sz w:val="20"/>
                <w:szCs w:val="20"/>
              </w:rPr>
              <w:t xml:space="preserve"> 2 db 43A, 233B és C tűzoltási teljesítményű</w:t>
            </w:r>
          </w:p>
        </w:tc>
      </w:tr>
      <w:tr w:rsidR="005B415B" w:rsidRPr="00D50E91" w:rsidTr="00C65880">
        <w:tc>
          <w:tcPr>
            <w:tcW w:w="56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3</w:t>
            </w:r>
          </w:p>
        </w:tc>
        <w:tc>
          <w:tcPr>
            <w:tcW w:w="340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rPr>
                <w:sz w:val="20"/>
                <w:szCs w:val="20"/>
              </w:rPr>
            </w:pPr>
            <w:r w:rsidRPr="00D50E91">
              <w:rPr>
                <w:sz w:val="20"/>
                <w:szCs w:val="20"/>
              </w:rPr>
              <w:t xml:space="preserve"> „3” kategória esetén</w:t>
            </w:r>
          </w:p>
        </w:tc>
        <w:tc>
          <w:tcPr>
            <w:tcW w:w="567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rPr>
                <w:sz w:val="20"/>
                <w:szCs w:val="20"/>
              </w:rPr>
            </w:pPr>
            <w:r w:rsidRPr="00D50E91">
              <w:rPr>
                <w:sz w:val="20"/>
                <w:szCs w:val="20"/>
              </w:rPr>
              <w:t xml:space="preserve"> 4 db 55A, 233B és C tűzoltási teljesítményű</w:t>
            </w:r>
          </w:p>
        </w:tc>
      </w:tr>
      <w:tr w:rsidR="005B415B" w:rsidRPr="00D50E91" w:rsidTr="00C65880">
        <w:tc>
          <w:tcPr>
            <w:tcW w:w="56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4</w:t>
            </w:r>
          </w:p>
        </w:tc>
        <w:tc>
          <w:tcPr>
            <w:tcW w:w="340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rPr>
                <w:sz w:val="20"/>
                <w:szCs w:val="20"/>
              </w:rPr>
            </w:pPr>
            <w:r w:rsidRPr="00D50E91">
              <w:rPr>
                <w:sz w:val="20"/>
                <w:szCs w:val="20"/>
              </w:rPr>
              <w:t xml:space="preserve"> „4” kategória esetén</w:t>
            </w:r>
          </w:p>
        </w:tc>
        <w:tc>
          <w:tcPr>
            <w:tcW w:w="567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rPr>
                <w:sz w:val="20"/>
                <w:szCs w:val="20"/>
              </w:rPr>
            </w:pPr>
            <w:r w:rsidRPr="00D50E91">
              <w:rPr>
                <w:sz w:val="20"/>
                <w:szCs w:val="20"/>
              </w:rPr>
              <w:t xml:space="preserve"> 4 db 55A, 233B és C tűzoltási teljesítményű és</w:t>
            </w:r>
            <w:r w:rsidRPr="00D50E91">
              <w:rPr>
                <w:sz w:val="20"/>
                <w:szCs w:val="20"/>
              </w:rPr>
              <w:br/>
              <w:t>1 db A III B C tűzoltási teljesítményű szállítható oltó</w:t>
            </w:r>
          </w:p>
        </w:tc>
      </w:tr>
      <w:tr w:rsidR="005B415B" w:rsidRPr="00D50E91" w:rsidTr="00C65880">
        <w:tc>
          <w:tcPr>
            <w:tcW w:w="56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5</w:t>
            </w:r>
          </w:p>
        </w:tc>
        <w:tc>
          <w:tcPr>
            <w:tcW w:w="3402"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rPr>
                <w:sz w:val="20"/>
                <w:szCs w:val="20"/>
              </w:rPr>
            </w:pPr>
            <w:r w:rsidRPr="00D50E91">
              <w:rPr>
                <w:sz w:val="20"/>
                <w:szCs w:val="20"/>
              </w:rPr>
              <w:t xml:space="preserve"> „kategórián felüli” esetén</w:t>
            </w:r>
          </w:p>
        </w:tc>
        <w:tc>
          <w:tcPr>
            <w:tcW w:w="567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rPr>
                <w:sz w:val="20"/>
                <w:szCs w:val="20"/>
              </w:rPr>
            </w:pPr>
            <w:r w:rsidRPr="00D50E91">
              <w:rPr>
                <w:sz w:val="20"/>
                <w:szCs w:val="20"/>
              </w:rPr>
              <w:t xml:space="preserve"> 4 db 55A, 233B és C tűzoltási teljesítményű, valamint</w:t>
            </w:r>
            <w:r w:rsidRPr="00D50E91">
              <w:rPr>
                <w:sz w:val="20"/>
                <w:szCs w:val="20"/>
              </w:rPr>
              <w:br/>
              <w:t>1 db A III B C tűzoltási teljesítményű szállítható porral oltó, továbbá</w:t>
            </w:r>
            <w:r w:rsidRPr="00D50E91">
              <w:rPr>
                <w:sz w:val="20"/>
                <w:szCs w:val="20"/>
              </w:rPr>
              <w:br/>
              <w:t>1 db 250 kg</w:t>
            </w:r>
            <w:r w:rsidR="003528A8">
              <w:rPr>
                <w:sz w:val="20"/>
                <w:szCs w:val="20"/>
              </w:rPr>
              <w:t>-</w:t>
            </w:r>
            <w:r w:rsidRPr="00D50E91">
              <w:rPr>
                <w:sz w:val="20"/>
                <w:szCs w:val="20"/>
              </w:rPr>
              <w:t>os porral oltó</w:t>
            </w:r>
            <w:r w:rsidRPr="00D50E91">
              <w:rPr>
                <w:sz w:val="20"/>
                <w:szCs w:val="20"/>
                <w:vertAlign w:val="superscript"/>
              </w:rPr>
              <w:t>1)</w:t>
            </w:r>
          </w:p>
        </w:tc>
      </w:tr>
      <w:tr w:rsidR="005B415B" w:rsidRPr="00D50E91" w:rsidTr="00C65880">
        <w:tc>
          <w:tcPr>
            <w:tcW w:w="9634" w:type="dxa"/>
            <w:gridSpan w:val="3"/>
            <w:tcBorders>
              <w:top w:val="single" w:sz="4" w:space="0" w:color="auto"/>
              <w:left w:val="nil"/>
              <w:bottom w:val="nil"/>
              <w:right w:val="nil"/>
            </w:tcBorders>
          </w:tcPr>
          <w:p w:rsidR="005B415B" w:rsidRPr="00D50E91" w:rsidRDefault="005B415B" w:rsidP="00C65880">
            <w:pPr>
              <w:autoSpaceDE w:val="0"/>
              <w:autoSpaceDN w:val="0"/>
              <w:adjustRightInd w:val="0"/>
              <w:ind w:left="56" w:right="56"/>
              <w:rPr>
                <w:i/>
                <w:iCs/>
                <w:sz w:val="20"/>
                <w:szCs w:val="20"/>
              </w:rPr>
            </w:pPr>
            <w:r w:rsidRPr="00D50E91">
              <w:rPr>
                <w:sz w:val="20"/>
                <w:szCs w:val="20"/>
              </w:rPr>
              <w:t xml:space="preserve"> </w:t>
            </w:r>
            <w:r w:rsidRPr="00D50E91">
              <w:rPr>
                <w:i/>
                <w:iCs/>
                <w:sz w:val="20"/>
                <w:szCs w:val="20"/>
                <w:vertAlign w:val="superscript"/>
              </w:rPr>
              <w:t>1)</w:t>
            </w:r>
            <w:r w:rsidRPr="00D50E91">
              <w:rPr>
                <w:i/>
                <w:iCs/>
                <w:sz w:val="20"/>
                <w:szCs w:val="20"/>
              </w:rPr>
              <w:t xml:space="preserve"> A 250 kg</w:t>
            </w:r>
            <w:r w:rsidR="003528A8">
              <w:rPr>
                <w:i/>
                <w:iCs/>
                <w:sz w:val="20"/>
                <w:szCs w:val="20"/>
              </w:rPr>
              <w:t>-</w:t>
            </w:r>
            <w:r w:rsidRPr="00D50E91">
              <w:rPr>
                <w:i/>
                <w:iCs/>
                <w:sz w:val="20"/>
                <w:szCs w:val="20"/>
              </w:rPr>
              <w:t>os porral oltó helyett megengedett 5 db A III B C tűzoltási teljesítményű szállítható porral oltó tűzoltó készülék.</w:t>
            </w:r>
          </w:p>
        </w:tc>
      </w:tr>
    </w:tbl>
    <w:p w:rsidR="005B415B" w:rsidRPr="00D50E91" w:rsidRDefault="005B415B" w:rsidP="00595B18">
      <w:pPr>
        <w:jc w:val="both"/>
      </w:pPr>
    </w:p>
    <w:p w:rsidR="005B415B" w:rsidRPr="00D50E91" w:rsidRDefault="005B415B" w:rsidP="00595B18">
      <w:pPr>
        <w:jc w:val="both"/>
      </w:pPr>
    </w:p>
    <w:p w:rsidR="005B415B" w:rsidRPr="00D50E91" w:rsidRDefault="005B415B">
      <w:pPr>
        <w:spacing w:after="200" w:line="276" w:lineRule="auto"/>
      </w:pPr>
      <w:r w:rsidRPr="00D50E91">
        <w:br w:type="page"/>
      </w:r>
    </w:p>
    <w:p w:rsidR="005B415B" w:rsidRPr="00D50E91" w:rsidRDefault="005B415B" w:rsidP="00C65880">
      <w:pPr>
        <w:autoSpaceDE w:val="0"/>
        <w:autoSpaceDN w:val="0"/>
        <w:adjustRightInd w:val="0"/>
        <w:jc w:val="right"/>
        <w:rPr>
          <w:i/>
        </w:rPr>
      </w:pPr>
      <w:r w:rsidRPr="00D50E91">
        <w:rPr>
          <w:i/>
        </w:rPr>
        <w:lastRenderedPageBreak/>
        <w:t>13. melléklet a …./2018. (……) BM rendelethez</w:t>
      </w:r>
    </w:p>
    <w:p w:rsidR="005B415B" w:rsidRPr="00D50E91" w:rsidRDefault="005B415B" w:rsidP="00C65880">
      <w:pPr>
        <w:jc w:val="both"/>
      </w:pPr>
    </w:p>
    <w:p w:rsidR="005B415B" w:rsidRPr="00D50E91" w:rsidRDefault="005B415B" w:rsidP="002D39B6">
      <w:pPr>
        <w:pStyle w:val="Szvegtrzs"/>
        <w:spacing w:after="0"/>
        <w:rPr>
          <w:i/>
        </w:rPr>
      </w:pPr>
      <w:r w:rsidRPr="00D50E91">
        <w:rPr>
          <w:i/>
        </w:rPr>
        <w:t>18. melléklet az 54/2014. (XII. 5.) BM rendelethez</w:t>
      </w:r>
    </w:p>
    <w:p w:rsidR="005B415B" w:rsidRPr="00D50E91" w:rsidRDefault="005B415B" w:rsidP="00C65880">
      <w:pPr>
        <w:jc w:val="both"/>
      </w:pPr>
    </w:p>
    <w:p w:rsidR="005B415B" w:rsidRPr="00D50E91" w:rsidRDefault="005B415B" w:rsidP="00C65880">
      <w:pPr>
        <w:jc w:val="both"/>
        <w:rPr>
          <w:b/>
          <w:sz w:val="20"/>
          <w:szCs w:val="20"/>
        </w:rPr>
      </w:pPr>
      <w:r w:rsidRPr="00D50E91">
        <w:rPr>
          <w:b/>
          <w:sz w:val="20"/>
          <w:szCs w:val="20"/>
        </w:rPr>
        <w:t>1. táblázat, az Ellenőrzés, karbantartás, felülvizsgálat fejezethez</w:t>
      </w:r>
    </w:p>
    <w:p w:rsidR="005B415B" w:rsidRPr="00D50E91" w:rsidRDefault="005B415B" w:rsidP="00595B18">
      <w:pPr>
        <w:jc w:val="both"/>
      </w:pPr>
    </w:p>
    <w:tbl>
      <w:tblPr>
        <w:tblW w:w="0" w:type="auto"/>
        <w:tblInd w:w="5" w:type="dxa"/>
        <w:tblLayout w:type="fixed"/>
        <w:tblCellMar>
          <w:left w:w="0" w:type="dxa"/>
          <w:right w:w="0" w:type="dxa"/>
        </w:tblCellMar>
        <w:tblLook w:val="0000" w:firstRow="0" w:lastRow="0" w:firstColumn="0" w:lastColumn="0" w:noHBand="0" w:noVBand="0"/>
      </w:tblPr>
      <w:tblGrid>
        <w:gridCol w:w="566"/>
        <w:gridCol w:w="1700"/>
        <w:gridCol w:w="1700"/>
        <w:gridCol w:w="994"/>
        <w:gridCol w:w="142"/>
        <w:gridCol w:w="1267"/>
        <w:gridCol w:w="1690"/>
        <w:gridCol w:w="1429"/>
        <w:gridCol w:w="1700"/>
        <w:gridCol w:w="1418"/>
      </w:tblGrid>
      <w:tr w:rsidR="005B415B" w:rsidRPr="00D50E91" w:rsidTr="002D39B6">
        <w:tc>
          <w:tcPr>
            <w:tcW w:w="566"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rPr>
                <w:sz w:val="20"/>
                <w:szCs w:val="20"/>
              </w:rPr>
            </w:pPr>
          </w:p>
        </w:tc>
        <w:tc>
          <w:tcPr>
            <w:tcW w:w="3400" w:type="dxa"/>
            <w:gridSpan w:val="2"/>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A</w:t>
            </w:r>
          </w:p>
        </w:tc>
        <w:tc>
          <w:tcPr>
            <w:tcW w:w="2403" w:type="dxa"/>
            <w:gridSpan w:val="3"/>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B</w:t>
            </w:r>
          </w:p>
        </w:tc>
        <w:tc>
          <w:tcPr>
            <w:tcW w:w="3119" w:type="dxa"/>
            <w:gridSpan w:val="2"/>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C</w:t>
            </w:r>
          </w:p>
        </w:tc>
        <w:tc>
          <w:tcPr>
            <w:tcW w:w="3118" w:type="dxa"/>
            <w:gridSpan w:val="2"/>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D</w:t>
            </w:r>
          </w:p>
        </w:tc>
      </w:tr>
      <w:tr w:rsidR="005B415B" w:rsidRPr="00D50E91" w:rsidTr="002D39B6">
        <w:tc>
          <w:tcPr>
            <w:tcW w:w="566"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w:t>
            </w:r>
          </w:p>
        </w:tc>
        <w:tc>
          <w:tcPr>
            <w:tcW w:w="3400" w:type="dxa"/>
            <w:gridSpan w:val="2"/>
            <w:tcBorders>
              <w:top w:val="single" w:sz="4" w:space="0" w:color="auto"/>
              <w:left w:val="single" w:sz="4" w:space="0" w:color="auto"/>
              <w:bottom w:val="nil"/>
              <w:right w:val="single" w:sz="4" w:space="0" w:color="auto"/>
            </w:tcBorders>
          </w:tcPr>
          <w:p w:rsidR="005B415B" w:rsidRPr="00D50E91" w:rsidRDefault="005B415B" w:rsidP="00C65880">
            <w:pPr>
              <w:autoSpaceDE w:val="0"/>
              <w:autoSpaceDN w:val="0"/>
              <w:adjustRightInd w:val="0"/>
              <w:rPr>
                <w:b/>
                <w:sz w:val="20"/>
                <w:szCs w:val="20"/>
              </w:rPr>
            </w:pPr>
            <w:r w:rsidRPr="00D50E91">
              <w:rPr>
                <w:b/>
                <w:sz w:val="20"/>
                <w:szCs w:val="20"/>
              </w:rPr>
              <w:t xml:space="preserve"> </w:t>
            </w:r>
          </w:p>
        </w:tc>
        <w:tc>
          <w:tcPr>
            <w:tcW w:w="2403" w:type="dxa"/>
            <w:gridSpan w:val="3"/>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b/>
                <w:bCs/>
                <w:sz w:val="20"/>
                <w:szCs w:val="20"/>
              </w:rPr>
            </w:pPr>
            <w:r w:rsidRPr="00D50E91">
              <w:rPr>
                <w:b/>
                <w:sz w:val="20"/>
                <w:szCs w:val="20"/>
              </w:rPr>
              <w:t xml:space="preserve"> </w:t>
            </w:r>
            <w:r w:rsidR="002D39B6" w:rsidRPr="00D50E91">
              <w:rPr>
                <w:b/>
                <w:bCs/>
                <w:sz w:val="20"/>
                <w:szCs w:val="20"/>
              </w:rPr>
              <w:t>Ü</w:t>
            </w:r>
            <w:r w:rsidRPr="00D50E91">
              <w:rPr>
                <w:b/>
                <w:bCs/>
                <w:sz w:val="20"/>
                <w:szCs w:val="20"/>
              </w:rPr>
              <w:t>zemeltetői ellenőrzés</w:t>
            </w:r>
          </w:p>
        </w:tc>
        <w:tc>
          <w:tcPr>
            <w:tcW w:w="3119" w:type="dxa"/>
            <w:gridSpan w:val="2"/>
            <w:tcBorders>
              <w:top w:val="single" w:sz="4" w:space="0" w:color="auto"/>
              <w:left w:val="single" w:sz="4" w:space="0" w:color="auto"/>
              <w:bottom w:val="single" w:sz="4" w:space="0" w:color="auto"/>
              <w:right w:val="single" w:sz="4" w:space="0" w:color="auto"/>
            </w:tcBorders>
          </w:tcPr>
          <w:p w:rsidR="005B415B" w:rsidRPr="00D50E91" w:rsidRDefault="002D39B6" w:rsidP="00C65880">
            <w:pPr>
              <w:autoSpaceDE w:val="0"/>
              <w:autoSpaceDN w:val="0"/>
              <w:adjustRightInd w:val="0"/>
              <w:ind w:left="56" w:right="56"/>
              <w:jc w:val="center"/>
              <w:rPr>
                <w:b/>
                <w:sz w:val="20"/>
                <w:szCs w:val="20"/>
              </w:rPr>
            </w:pPr>
            <w:r w:rsidRPr="00D50E91">
              <w:rPr>
                <w:b/>
                <w:sz w:val="20"/>
                <w:szCs w:val="20"/>
              </w:rPr>
              <w:t xml:space="preserve"> I</w:t>
            </w:r>
            <w:r w:rsidR="005B415B" w:rsidRPr="00D50E91">
              <w:rPr>
                <w:b/>
                <w:sz w:val="20"/>
                <w:szCs w:val="20"/>
              </w:rPr>
              <w:t>dőszakos felülvizsgálat</w:t>
            </w:r>
          </w:p>
        </w:tc>
        <w:tc>
          <w:tcPr>
            <w:tcW w:w="3118" w:type="dxa"/>
            <w:gridSpan w:val="2"/>
            <w:tcBorders>
              <w:top w:val="single" w:sz="4" w:space="0" w:color="auto"/>
              <w:left w:val="single" w:sz="4" w:space="0" w:color="auto"/>
              <w:bottom w:val="single" w:sz="4" w:space="0" w:color="auto"/>
              <w:right w:val="single" w:sz="4" w:space="0" w:color="auto"/>
            </w:tcBorders>
          </w:tcPr>
          <w:p w:rsidR="005B415B" w:rsidRPr="00D50E91" w:rsidRDefault="002D39B6" w:rsidP="00C65880">
            <w:pPr>
              <w:autoSpaceDE w:val="0"/>
              <w:autoSpaceDN w:val="0"/>
              <w:adjustRightInd w:val="0"/>
              <w:ind w:left="56" w:right="56"/>
              <w:jc w:val="center"/>
              <w:rPr>
                <w:b/>
                <w:sz w:val="20"/>
                <w:szCs w:val="20"/>
              </w:rPr>
            </w:pPr>
            <w:r w:rsidRPr="00D50E91">
              <w:rPr>
                <w:b/>
                <w:sz w:val="20"/>
                <w:szCs w:val="20"/>
              </w:rPr>
              <w:t xml:space="preserve"> K</w:t>
            </w:r>
            <w:r w:rsidR="005B415B" w:rsidRPr="00D50E91">
              <w:rPr>
                <w:b/>
                <w:sz w:val="20"/>
                <w:szCs w:val="20"/>
              </w:rPr>
              <w:t>arbantartás</w:t>
            </w:r>
          </w:p>
        </w:tc>
      </w:tr>
      <w:tr w:rsidR="005B415B" w:rsidRPr="00D50E91" w:rsidTr="002D39B6">
        <w:tc>
          <w:tcPr>
            <w:tcW w:w="566"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2</w:t>
            </w:r>
          </w:p>
        </w:tc>
        <w:tc>
          <w:tcPr>
            <w:tcW w:w="3400" w:type="dxa"/>
            <w:gridSpan w:val="2"/>
            <w:tcBorders>
              <w:top w:val="nil"/>
              <w:left w:val="single" w:sz="4" w:space="0" w:color="auto"/>
              <w:bottom w:val="single" w:sz="4" w:space="0" w:color="auto"/>
              <w:right w:val="single" w:sz="4" w:space="0" w:color="auto"/>
            </w:tcBorders>
          </w:tcPr>
          <w:p w:rsidR="005B415B" w:rsidRPr="00D50E91" w:rsidRDefault="005B415B" w:rsidP="002D39B6">
            <w:pPr>
              <w:autoSpaceDE w:val="0"/>
              <w:autoSpaceDN w:val="0"/>
              <w:adjustRightInd w:val="0"/>
              <w:ind w:left="56" w:right="56"/>
              <w:jc w:val="center"/>
              <w:rPr>
                <w:b/>
                <w:bCs/>
                <w:sz w:val="20"/>
                <w:szCs w:val="20"/>
              </w:rPr>
            </w:pPr>
            <w:r w:rsidRPr="00D50E91">
              <w:rPr>
                <w:b/>
                <w:sz w:val="20"/>
                <w:szCs w:val="20"/>
              </w:rPr>
              <w:t xml:space="preserve"> </w:t>
            </w:r>
            <w:r w:rsidR="002D39B6" w:rsidRPr="00D50E91">
              <w:rPr>
                <w:b/>
                <w:sz w:val="20"/>
                <w:szCs w:val="20"/>
              </w:rPr>
              <w:t>É</w:t>
            </w:r>
            <w:r w:rsidRPr="00D50E91">
              <w:rPr>
                <w:b/>
                <w:bCs/>
                <w:sz w:val="20"/>
                <w:szCs w:val="20"/>
              </w:rPr>
              <w:t>rintett műszaki megoldás</w:t>
            </w:r>
          </w:p>
        </w:tc>
        <w:tc>
          <w:tcPr>
            <w:tcW w:w="994"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b/>
                <w:sz w:val="20"/>
                <w:szCs w:val="20"/>
              </w:rPr>
            </w:pPr>
            <w:r w:rsidRPr="00D50E91">
              <w:rPr>
                <w:b/>
                <w:sz w:val="20"/>
                <w:szCs w:val="20"/>
              </w:rPr>
              <w:t xml:space="preserve"> ciklusidő</w:t>
            </w:r>
          </w:p>
        </w:tc>
        <w:tc>
          <w:tcPr>
            <w:tcW w:w="1409" w:type="dxa"/>
            <w:gridSpan w:val="2"/>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b/>
                <w:sz w:val="20"/>
                <w:szCs w:val="20"/>
              </w:rPr>
            </w:pPr>
            <w:r w:rsidRPr="00D50E91">
              <w:rPr>
                <w:b/>
                <w:sz w:val="20"/>
                <w:szCs w:val="20"/>
              </w:rPr>
              <w:t xml:space="preserve"> dokumentálás szükségessége és módja</w:t>
            </w:r>
          </w:p>
        </w:tc>
        <w:tc>
          <w:tcPr>
            <w:tcW w:w="169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b/>
                <w:sz w:val="20"/>
                <w:szCs w:val="20"/>
              </w:rPr>
            </w:pPr>
            <w:r w:rsidRPr="00D50E91">
              <w:rPr>
                <w:b/>
                <w:sz w:val="20"/>
                <w:szCs w:val="20"/>
              </w:rPr>
              <w:t xml:space="preserve"> ciklusidő</w:t>
            </w:r>
          </w:p>
        </w:tc>
        <w:tc>
          <w:tcPr>
            <w:tcW w:w="1429"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b/>
                <w:sz w:val="20"/>
                <w:szCs w:val="20"/>
              </w:rPr>
            </w:pPr>
            <w:r w:rsidRPr="00D50E91">
              <w:rPr>
                <w:b/>
                <w:sz w:val="20"/>
                <w:szCs w:val="20"/>
              </w:rPr>
              <w:t xml:space="preserve"> dokumentálás szükségessége és módja</w:t>
            </w:r>
          </w:p>
        </w:tc>
        <w:tc>
          <w:tcPr>
            <w:tcW w:w="170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b/>
                <w:sz w:val="20"/>
                <w:szCs w:val="20"/>
              </w:rPr>
            </w:pPr>
            <w:r w:rsidRPr="00D50E91">
              <w:rPr>
                <w:b/>
                <w:sz w:val="20"/>
                <w:szCs w:val="20"/>
              </w:rPr>
              <w:t xml:space="preserve"> ciklusidő</w:t>
            </w:r>
          </w:p>
        </w:tc>
        <w:tc>
          <w:tcPr>
            <w:tcW w:w="1418"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b/>
                <w:sz w:val="20"/>
                <w:szCs w:val="20"/>
              </w:rPr>
            </w:pPr>
            <w:r w:rsidRPr="00D50E91">
              <w:rPr>
                <w:b/>
                <w:sz w:val="20"/>
                <w:szCs w:val="20"/>
              </w:rPr>
              <w:t xml:space="preserve"> dokumentálás szükségessége és módja</w:t>
            </w:r>
          </w:p>
        </w:tc>
      </w:tr>
      <w:tr w:rsidR="005B415B" w:rsidRPr="00D50E91" w:rsidTr="002D39B6">
        <w:tc>
          <w:tcPr>
            <w:tcW w:w="566"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3</w:t>
            </w:r>
          </w:p>
        </w:tc>
        <w:tc>
          <w:tcPr>
            <w:tcW w:w="3400" w:type="dxa"/>
            <w:gridSpan w:val="2"/>
            <w:tcBorders>
              <w:top w:val="single" w:sz="4" w:space="0" w:color="auto"/>
              <w:left w:val="single" w:sz="4" w:space="0" w:color="auto"/>
              <w:bottom w:val="single" w:sz="4" w:space="0" w:color="auto"/>
              <w:right w:val="single" w:sz="4" w:space="0" w:color="auto"/>
            </w:tcBorders>
          </w:tcPr>
          <w:p w:rsidR="005B415B" w:rsidRPr="00D50E91" w:rsidRDefault="005B415B" w:rsidP="002D39B6">
            <w:pPr>
              <w:autoSpaceDE w:val="0"/>
              <w:autoSpaceDN w:val="0"/>
              <w:adjustRightInd w:val="0"/>
              <w:ind w:left="56" w:right="56"/>
              <w:rPr>
                <w:sz w:val="20"/>
                <w:szCs w:val="20"/>
              </w:rPr>
            </w:pPr>
            <w:r w:rsidRPr="00D50E91">
              <w:rPr>
                <w:sz w:val="20"/>
                <w:szCs w:val="20"/>
              </w:rPr>
              <w:t xml:space="preserve"> </w:t>
            </w:r>
            <w:r w:rsidR="002D39B6" w:rsidRPr="00D50E91">
              <w:rPr>
                <w:sz w:val="20"/>
                <w:szCs w:val="20"/>
              </w:rPr>
              <w:t>T</w:t>
            </w:r>
            <w:r w:rsidRPr="00D50E91">
              <w:rPr>
                <w:sz w:val="20"/>
                <w:szCs w:val="20"/>
              </w:rPr>
              <w:t>űzoltó készülék</w:t>
            </w:r>
          </w:p>
        </w:tc>
        <w:tc>
          <w:tcPr>
            <w:tcW w:w="994"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3 hónap</w:t>
            </w:r>
            <w:r w:rsidRPr="00D50E91">
              <w:rPr>
                <w:sz w:val="20"/>
                <w:szCs w:val="20"/>
              </w:rPr>
              <w:br/>
              <w:t>(+ 1 hét)</w:t>
            </w:r>
          </w:p>
        </w:tc>
        <w:tc>
          <w:tcPr>
            <w:tcW w:w="1409" w:type="dxa"/>
            <w:gridSpan w:val="2"/>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tűzvédelmi üzemeltetési napló</w:t>
            </w:r>
          </w:p>
        </w:tc>
        <w:tc>
          <w:tcPr>
            <w:tcW w:w="3119" w:type="dxa"/>
            <w:gridSpan w:val="2"/>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right="56"/>
              <w:jc w:val="center"/>
              <w:rPr>
                <w:sz w:val="20"/>
                <w:szCs w:val="20"/>
              </w:rPr>
            </w:pPr>
            <w:r w:rsidRPr="00D50E91">
              <w:rPr>
                <w:sz w:val="20"/>
                <w:szCs w:val="20"/>
              </w:rPr>
              <w:t xml:space="preserve"> nincs követelmény</w:t>
            </w:r>
          </w:p>
        </w:tc>
        <w:tc>
          <w:tcPr>
            <w:tcW w:w="170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6 hónap</w:t>
            </w:r>
            <w:r w:rsidRPr="00D50E91">
              <w:rPr>
                <w:sz w:val="20"/>
                <w:szCs w:val="20"/>
              </w:rPr>
              <w:br/>
              <w:t>(+ 1 hónap)</w:t>
            </w:r>
            <w:r w:rsidRPr="00D50E91">
              <w:rPr>
                <w:sz w:val="20"/>
                <w:szCs w:val="20"/>
                <w:vertAlign w:val="superscript"/>
              </w:rPr>
              <w:t>1)</w:t>
            </w:r>
            <w:r w:rsidRPr="00D50E91">
              <w:rPr>
                <w:sz w:val="20"/>
                <w:szCs w:val="20"/>
              </w:rPr>
              <w:br/>
              <w:t>12 hónap</w:t>
            </w:r>
            <w:r w:rsidRPr="00D50E91">
              <w:rPr>
                <w:sz w:val="20"/>
                <w:szCs w:val="20"/>
                <w:vertAlign w:val="superscript"/>
              </w:rPr>
              <w:t>2)</w:t>
            </w:r>
            <w:r w:rsidRPr="00D50E91">
              <w:rPr>
                <w:sz w:val="20"/>
                <w:szCs w:val="20"/>
              </w:rPr>
              <w:br/>
              <w:t>5 év (+ 2 hónap),</w:t>
            </w:r>
            <w:r w:rsidRPr="00D50E91">
              <w:rPr>
                <w:sz w:val="20"/>
                <w:szCs w:val="20"/>
              </w:rPr>
              <w:br/>
              <w:t>10 év (+ 2 hónap)</w:t>
            </w:r>
          </w:p>
        </w:tc>
        <w:tc>
          <w:tcPr>
            <w:tcW w:w="1418"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tűzvédelmi üzemeltetési napló</w:t>
            </w:r>
          </w:p>
        </w:tc>
      </w:tr>
      <w:tr w:rsidR="005B415B" w:rsidRPr="00D50E91" w:rsidTr="002D39B6">
        <w:tc>
          <w:tcPr>
            <w:tcW w:w="566"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4</w:t>
            </w:r>
          </w:p>
        </w:tc>
        <w:tc>
          <w:tcPr>
            <w:tcW w:w="3400" w:type="dxa"/>
            <w:gridSpan w:val="2"/>
            <w:tcBorders>
              <w:top w:val="single" w:sz="4" w:space="0" w:color="auto"/>
              <w:left w:val="single" w:sz="4" w:space="0" w:color="auto"/>
              <w:bottom w:val="single" w:sz="4" w:space="0" w:color="auto"/>
              <w:right w:val="single" w:sz="4" w:space="0" w:color="auto"/>
            </w:tcBorders>
          </w:tcPr>
          <w:p w:rsidR="005B415B" w:rsidRPr="00D50E91" w:rsidRDefault="002D39B6" w:rsidP="00C65880">
            <w:pPr>
              <w:autoSpaceDE w:val="0"/>
              <w:autoSpaceDN w:val="0"/>
              <w:adjustRightInd w:val="0"/>
              <w:ind w:left="56" w:right="56"/>
              <w:rPr>
                <w:sz w:val="20"/>
                <w:szCs w:val="20"/>
              </w:rPr>
            </w:pPr>
            <w:r w:rsidRPr="00D50E91">
              <w:rPr>
                <w:sz w:val="20"/>
                <w:szCs w:val="20"/>
              </w:rPr>
              <w:t xml:space="preserve"> F</w:t>
            </w:r>
            <w:r w:rsidR="005B415B" w:rsidRPr="00D50E91">
              <w:rPr>
                <w:sz w:val="20"/>
                <w:szCs w:val="20"/>
              </w:rPr>
              <w:t>ali tűzcsap, vízforrások a természetes vízforrás kivételével, nyomásfokozó szivattyú, száraz oltóvízvezeték</w:t>
            </w:r>
          </w:p>
        </w:tc>
        <w:tc>
          <w:tcPr>
            <w:tcW w:w="994"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6 hónap</w:t>
            </w:r>
            <w:r w:rsidRPr="00D50E91">
              <w:rPr>
                <w:sz w:val="20"/>
                <w:szCs w:val="20"/>
              </w:rPr>
              <w:br/>
              <w:t>(+ 1 hét)</w:t>
            </w:r>
          </w:p>
        </w:tc>
        <w:tc>
          <w:tcPr>
            <w:tcW w:w="1409" w:type="dxa"/>
            <w:gridSpan w:val="2"/>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tűzvédelmi üzemeltetési napló</w:t>
            </w:r>
          </w:p>
        </w:tc>
        <w:tc>
          <w:tcPr>
            <w:tcW w:w="169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12 hónap </w:t>
            </w:r>
            <w:r w:rsidR="002D39B6" w:rsidRPr="00D50E91">
              <w:rPr>
                <w:sz w:val="20"/>
                <w:szCs w:val="20"/>
              </w:rPr>
              <w:br/>
            </w:r>
            <w:r w:rsidRPr="00D50E91">
              <w:rPr>
                <w:sz w:val="20"/>
                <w:szCs w:val="20"/>
              </w:rPr>
              <w:t>(+ 1 hónap)</w:t>
            </w:r>
          </w:p>
        </w:tc>
        <w:tc>
          <w:tcPr>
            <w:tcW w:w="1429"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tűzvédelmi üzemeltetési napló</w:t>
            </w:r>
          </w:p>
        </w:tc>
        <w:tc>
          <w:tcPr>
            <w:tcW w:w="1700" w:type="dxa"/>
            <w:tcBorders>
              <w:top w:val="single" w:sz="4" w:space="0" w:color="auto"/>
              <w:left w:val="single" w:sz="4" w:space="0" w:color="auto"/>
              <w:bottom w:val="single" w:sz="4" w:space="0" w:color="auto"/>
              <w:right w:val="single" w:sz="4" w:space="0" w:color="auto"/>
            </w:tcBorders>
          </w:tcPr>
          <w:p w:rsidR="005B415B" w:rsidRPr="00D50E91" w:rsidRDefault="005B415B" w:rsidP="002D39B6">
            <w:pPr>
              <w:autoSpaceDE w:val="0"/>
              <w:autoSpaceDN w:val="0"/>
              <w:adjustRightInd w:val="0"/>
              <w:ind w:left="56" w:right="56"/>
              <w:jc w:val="center"/>
              <w:rPr>
                <w:sz w:val="20"/>
                <w:szCs w:val="20"/>
              </w:rPr>
            </w:pPr>
            <w:r w:rsidRPr="00D50E91">
              <w:rPr>
                <w:sz w:val="20"/>
                <w:szCs w:val="20"/>
              </w:rPr>
              <w:t xml:space="preserve"> </w:t>
            </w:r>
            <w:r w:rsidR="002D39B6" w:rsidRPr="00D50E91">
              <w:rPr>
                <w:sz w:val="20"/>
                <w:szCs w:val="20"/>
              </w:rPr>
              <w:t>a</w:t>
            </w:r>
            <w:r w:rsidRPr="00D50E91">
              <w:rPr>
                <w:sz w:val="20"/>
                <w:szCs w:val="20"/>
              </w:rPr>
              <w:t>z időszakos felülvizsgálattal egyidejűleg</w:t>
            </w:r>
          </w:p>
        </w:tc>
        <w:tc>
          <w:tcPr>
            <w:tcW w:w="1418"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tűzvédelmi üzemeltetési napló</w:t>
            </w:r>
          </w:p>
        </w:tc>
      </w:tr>
      <w:tr w:rsidR="005B415B" w:rsidRPr="00D50E91" w:rsidTr="002D39B6">
        <w:tc>
          <w:tcPr>
            <w:tcW w:w="566"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5</w:t>
            </w:r>
          </w:p>
        </w:tc>
        <w:tc>
          <w:tcPr>
            <w:tcW w:w="3400" w:type="dxa"/>
            <w:gridSpan w:val="2"/>
            <w:tcBorders>
              <w:top w:val="single" w:sz="4" w:space="0" w:color="auto"/>
              <w:left w:val="single" w:sz="4" w:space="0" w:color="auto"/>
              <w:bottom w:val="single" w:sz="4" w:space="0" w:color="auto"/>
              <w:right w:val="single" w:sz="4" w:space="0" w:color="auto"/>
            </w:tcBorders>
          </w:tcPr>
          <w:p w:rsidR="005B415B" w:rsidRPr="00D50E91" w:rsidRDefault="002D39B6" w:rsidP="00C65880">
            <w:pPr>
              <w:autoSpaceDE w:val="0"/>
              <w:autoSpaceDN w:val="0"/>
              <w:adjustRightInd w:val="0"/>
              <w:ind w:left="56" w:right="56"/>
              <w:rPr>
                <w:sz w:val="20"/>
                <w:szCs w:val="20"/>
              </w:rPr>
            </w:pPr>
            <w:r w:rsidRPr="00D50E91">
              <w:rPr>
                <w:sz w:val="20"/>
                <w:szCs w:val="20"/>
              </w:rPr>
              <w:t xml:space="preserve"> B</w:t>
            </w:r>
            <w:r w:rsidR="005B415B" w:rsidRPr="00D50E91">
              <w:rPr>
                <w:sz w:val="20"/>
                <w:szCs w:val="20"/>
              </w:rPr>
              <w:t>eépített tűzjelző berendezés</w:t>
            </w:r>
          </w:p>
        </w:tc>
        <w:tc>
          <w:tcPr>
            <w:tcW w:w="994"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 nap,</w:t>
            </w:r>
            <w:r w:rsidRPr="00D50E91">
              <w:rPr>
                <w:sz w:val="20"/>
                <w:szCs w:val="20"/>
              </w:rPr>
              <w:br/>
              <w:t>1 hónap,</w:t>
            </w:r>
            <w:r w:rsidRPr="00D50E91">
              <w:rPr>
                <w:sz w:val="20"/>
                <w:szCs w:val="20"/>
              </w:rPr>
              <w:br/>
              <w:t>3 hónap</w:t>
            </w:r>
            <w:r w:rsidRPr="00D50E91">
              <w:rPr>
                <w:sz w:val="20"/>
                <w:szCs w:val="20"/>
              </w:rPr>
              <w:br/>
              <w:t>(+ 1 hét)</w:t>
            </w:r>
          </w:p>
        </w:tc>
        <w:tc>
          <w:tcPr>
            <w:tcW w:w="1409" w:type="dxa"/>
            <w:gridSpan w:val="2"/>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tűzvédelmi üzemeltetési napló</w:t>
            </w:r>
          </w:p>
        </w:tc>
        <w:tc>
          <w:tcPr>
            <w:tcW w:w="169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6 hónap (+ 1 hét),</w:t>
            </w:r>
            <w:r w:rsidRPr="00D50E91">
              <w:rPr>
                <w:sz w:val="20"/>
                <w:szCs w:val="20"/>
              </w:rPr>
              <w:br/>
              <w:t>12 hónap (+ 1 hét)</w:t>
            </w:r>
          </w:p>
        </w:tc>
        <w:tc>
          <w:tcPr>
            <w:tcW w:w="1429"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tűzvédelmi üzemeltetési napló</w:t>
            </w:r>
          </w:p>
        </w:tc>
        <w:tc>
          <w:tcPr>
            <w:tcW w:w="1700" w:type="dxa"/>
            <w:tcBorders>
              <w:top w:val="single" w:sz="4" w:space="0" w:color="auto"/>
              <w:left w:val="single" w:sz="4" w:space="0" w:color="auto"/>
              <w:bottom w:val="single" w:sz="4" w:space="0" w:color="auto"/>
              <w:right w:val="single" w:sz="4" w:space="0" w:color="auto"/>
            </w:tcBorders>
          </w:tcPr>
          <w:p w:rsidR="005B415B" w:rsidRPr="00D50E91" w:rsidRDefault="005B415B" w:rsidP="002D39B6">
            <w:pPr>
              <w:autoSpaceDE w:val="0"/>
              <w:autoSpaceDN w:val="0"/>
              <w:adjustRightInd w:val="0"/>
              <w:ind w:left="56" w:right="56"/>
              <w:jc w:val="center"/>
              <w:rPr>
                <w:sz w:val="20"/>
                <w:szCs w:val="20"/>
              </w:rPr>
            </w:pPr>
            <w:r w:rsidRPr="00D50E91">
              <w:rPr>
                <w:sz w:val="20"/>
                <w:szCs w:val="20"/>
              </w:rPr>
              <w:t xml:space="preserve"> </w:t>
            </w:r>
            <w:r w:rsidR="002D39B6" w:rsidRPr="00D50E91">
              <w:rPr>
                <w:sz w:val="20"/>
                <w:szCs w:val="20"/>
              </w:rPr>
              <w:t>a</w:t>
            </w:r>
            <w:r w:rsidRPr="00D50E91">
              <w:rPr>
                <w:sz w:val="20"/>
                <w:szCs w:val="20"/>
              </w:rPr>
              <w:t>z időszakos felülvizsgálattal egyidejűleg</w:t>
            </w:r>
          </w:p>
        </w:tc>
        <w:tc>
          <w:tcPr>
            <w:tcW w:w="1418"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tűzvédelmi üzemeltetési napló</w:t>
            </w:r>
          </w:p>
        </w:tc>
      </w:tr>
      <w:tr w:rsidR="005B415B" w:rsidRPr="00D50E91" w:rsidTr="002D39B6">
        <w:tc>
          <w:tcPr>
            <w:tcW w:w="566"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6</w:t>
            </w:r>
          </w:p>
        </w:tc>
        <w:tc>
          <w:tcPr>
            <w:tcW w:w="3400" w:type="dxa"/>
            <w:gridSpan w:val="2"/>
            <w:tcBorders>
              <w:top w:val="single" w:sz="4" w:space="0" w:color="auto"/>
              <w:left w:val="single" w:sz="4" w:space="0" w:color="auto"/>
              <w:bottom w:val="single" w:sz="4" w:space="0" w:color="auto"/>
              <w:right w:val="single" w:sz="4" w:space="0" w:color="auto"/>
            </w:tcBorders>
          </w:tcPr>
          <w:p w:rsidR="005B415B" w:rsidRPr="00D50E91" w:rsidRDefault="002D39B6" w:rsidP="00C65880">
            <w:pPr>
              <w:autoSpaceDE w:val="0"/>
              <w:autoSpaceDN w:val="0"/>
              <w:adjustRightInd w:val="0"/>
              <w:ind w:left="56" w:right="56"/>
              <w:rPr>
                <w:sz w:val="20"/>
                <w:szCs w:val="20"/>
              </w:rPr>
            </w:pPr>
            <w:r w:rsidRPr="00D50E91">
              <w:rPr>
                <w:sz w:val="20"/>
                <w:szCs w:val="20"/>
              </w:rPr>
              <w:t xml:space="preserve"> B</w:t>
            </w:r>
            <w:r w:rsidR="005B415B" w:rsidRPr="00D50E91">
              <w:rPr>
                <w:sz w:val="20"/>
                <w:szCs w:val="20"/>
              </w:rPr>
              <w:t>eépített tűzoltó berendezés</w:t>
            </w:r>
          </w:p>
        </w:tc>
        <w:tc>
          <w:tcPr>
            <w:tcW w:w="994"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 hét,</w:t>
            </w:r>
            <w:r w:rsidRPr="00D50E91">
              <w:rPr>
                <w:sz w:val="20"/>
                <w:szCs w:val="20"/>
              </w:rPr>
              <w:br/>
              <w:t>1 hónap</w:t>
            </w:r>
          </w:p>
        </w:tc>
        <w:tc>
          <w:tcPr>
            <w:tcW w:w="1409" w:type="dxa"/>
            <w:gridSpan w:val="2"/>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tűzvédelmi üzemeltetési napló</w:t>
            </w:r>
          </w:p>
        </w:tc>
        <w:tc>
          <w:tcPr>
            <w:tcW w:w="169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12 hónap (+ 1 hét)</w:t>
            </w:r>
          </w:p>
        </w:tc>
        <w:tc>
          <w:tcPr>
            <w:tcW w:w="1429"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tűzvédelmi üzemeltetési napló</w:t>
            </w:r>
          </w:p>
        </w:tc>
        <w:tc>
          <w:tcPr>
            <w:tcW w:w="1700" w:type="dxa"/>
            <w:tcBorders>
              <w:top w:val="single" w:sz="4" w:space="0" w:color="auto"/>
              <w:left w:val="single" w:sz="4" w:space="0" w:color="auto"/>
              <w:bottom w:val="single" w:sz="4" w:space="0" w:color="auto"/>
              <w:right w:val="single" w:sz="4" w:space="0" w:color="auto"/>
            </w:tcBorders>
          </w:tcPr>
          <w:p w:rsidR="005B415B" w:rsidRPr="00D50E91" w:rsidRDefault="005B415B" w:rsidP="002D39B6">
            <w:pPr>
              <w:autoSpaceDE w:val="0"/>
              <w:autoSpaceDN w:val="0"/>
              <w:adjustRightInd w:val="0"/>
              <w:ind w:left="56" w:right="56"/>
              <w:jc w:val="center"/>
              <w:rPr>
                <w:sz w:val="20"/>
                <w:szCs w:val="20"/>
              </w:rPr>
            </w:pPr>
            <w:r w:rsidRPr="00D50E91">
              <w:rPr>
                <w:sz w:val="20"/>
                <w:szCs w:val="20"/>
              </w:rPr>
              <w:t xml:space="preserve"> </w:t>
            </w:r>
            <w:r w:rsidR="002D39B6" w:rsidRPr="00D50E91">
              <w:rPr>
                <w:sz w:val="20"/>
                <w:szCs w:val="20"/>
              </w:rPr>
              <w:t>a</w:t>
            </w:r>
            <w:r w:rsidRPr="00D50E91">
              <w:rPr>
                <w:sz w:val="20"/>
                <w:szCs w:val="20"/>
              </w:rPr>
              <w:t>z időszakos felülvizsgálattal egyidejűleg</w:t>
            </w:r>
          </w:p>
        </w:tc>
        <w:tc>
          <w:tcPr>
            <w:tcW w:w="1418"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tűzvédelmi üzemeltetési napló</w:t>
            </w:r>
          </w:p>
        </w:tc>
      </w:tr>
      <w:tr w:rsidR="005B415B" w:rsidRPr="00D50E91" w:rsidTr="002D39B6">
        <w:tc>
          <w:tcPr>
            <w:tcW w:w="566"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7</w:t>
            </w:r>
          </w:p>
        </w:tc>
        <w:tc>
          <w:tcPr>
            <w:tcW w:w="3400" w:type="dxa"/>
            <w:gridSpan w:val="2"/>
            <w:tcBorders>
              <w:top w:val="single" w:sz="4" w:space="0" w:color="auto"/>
              <w:left w:val="single" w:sz="4" w:space="0" w:color="auto"/>
              <w:bottom w:val="single" w:sz="4" w:space="0" w:color="auto"/>
              <w:right w:val="single" w:sz="4" w:space="0" w:color="auto"/>
            </w:tcBorders>
          </w:tcPr>
          <w:p w:rsidR="005B415B" w:rsidRPr="00D50E91" w:rsidRDefault="002D39B6" w:rsidP="00C65880">
            <w:pPr>
              <w:autoSpaceDE w:val="0"/>
              <w:autoSpaceDN w:val="0"/>
              <w:adjustRightInd w:val="0"/>
              <w:ind w:left="56" w:right="56"/>
              <w:rPr>
                <w:sz w:val="20"/>
                <w:szCs w:val="20"/>
              </w:rPr>
            </w:pPr>
            <w:r w:rsidRPr="00D50E91">
              <w:rPr>
                <w:sz w:val="20"/>
                <w:szCs w:val="20"/>
              </w:rPr>
              <w:t xml:space="preserve"> T</w:t>
            </w:r>
            <w:r w:rsidR="005B415B" w:rsidRPr="00D50E91">
              <w:rPr>
                <w:sz w:val="20"/>
                <w:szCs w:val="20"/>
              </w:rPr>
              <w:t>űz</w:t>
            </w:r>
            <w:r w:rsidR="003528A8">
              <w:rPr>
                <w:sz w:val="20"/>
                <w:szCs w:val="20"/>
              </w:rPr>
              <w:t>-</w:t>
            </w:r>
            <w:r w:rsidR="005B415B" w:rsidRPr="00D50E91">
              <w:rPr>
                <w:sz w:val="20"/>
                <w:szCs w:val="20"/>
              </w:rPr>
              <w:t xml:space="preserve"> és hibaátjelző berendezés</w:t>
            </w:r>
          </w:p>
        </w:tc>
        <w:tc>
          <w:tcPr>
            <w:tcW w:w="994"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 nap</w:t>
            </w:r>
          </w:p>
        </w:tc>
        <w:tc>
          <w:tcPr>
            <w:tcW w:w="1409" w:type="dxa"/>
            <w:gridSpan w:val="2"/>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tűzvédelmi üzemeltetési napló</w:t>
            </w:r>
          </w:p>
        </w:tc>
        <w:tc>
          <w:tcPr>
            <w:tcW w:w="169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6 hónap (+ 1 hét)</w:t>
            </w:r>
          </w:p>
        </w:tc>
        <w:tc>
          <w:tcPr>
            <w:tcW w:w="1429"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tűzvédelmi üzemeltetési napló</w:t>
            </w:r>
          </w:p>
        </w:tc>
        <w:tc>
          <w:tcPr>
            <w:tcW w:w="1700" w:type="dxa"/>
            <w:tcBorders>
              <w:top w:val="single" w:sz="4" w:space="0" w:color="auto"/>
              <w:left w:val="single" w:sz="4" w:space="0" w:color="auto"/>
              <w:bottom w:val="single" w:sz="4" w:space="0" w:color="auto"/>
              <w:right w:val="single" w:sz="4" w:space="0" w:color="auto"/>
            </w:tcBorders>
          </w:tcPr>
          <w:p w:rsidR="005B415B" w:rsidRPr="00D50E91" w:rsidRDefault="005B415B" w:rsidP="002D39B6">
            <w:pPr>
              <w:autoSpaceDE w:val="0"/>
              <w:autoSpaceDN w:val="0"/>
              <w:adjustRightInd w:val="0"/>
              <w:ind w:left="56" w:right="56"/>
              <w:jc w:val="center"/>
              <w:rPr>
                <w:sz w:val="20"/>
                <w:szCs w:val="20"/>
              </w:rPr>
            </w:pPr>
            <w:r w:rsidRPr="00D50E91">
              <w:rPr>
                <w:sz w:val="20"/>
                <w:szCs w:val="20"/>
              </w:rPr>
              <w:t xml:space="preserve"> </w:t>
            </w:r>
            <w:r w:rsidR="002D39B6" w:rsidRPr="00D50E91">
              <w:rPr>
                <w:sz w:val="20"/>
                <w:szCs w:val="20"/>
              </w:rPr>
              <w:t>a</w:t>
            </w:r>
            <w:r w:rsidRPr="00D50E91">
              <w:rPr>
                <w:sz w:val="20"/>
                <w:szCs w:val="20"/>
              </w:rPr>
              <w:t>z időszakos felülvizsgálattal egyidejűleg</w:t>
            </w:r>
          </w:p>
        </w:tc>
        <w:tc>
          <w:tcPr>
            <w:tcW w:w="1418"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tűzvédelmi üzemeltetési napló</w:t>
            </w:r>
          </w:p>
        </w:tc>
      </w:tr>
      <w:tr w:rsidR="005B415B" w:rsidRPr="00D50E91" w:rsidTr="002D39B6">
        <w:tc>
          <w:tcPr>
            <w:tcW w:w="566"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8</w:t>
            </w:r>
          </w:p>
        </w:tc>
        <w:tc>
          <w:tcPr>
            <w:tcW w:w="3400" w:type="dxa"/>
            <w:gridSpan w:val="2"/>
            <w:tcBorders>
              <w:top w:val="single" w:sz="4" w:space="0" w:color="auto"/>
              <w:left w:val="single" w:sz="4" w:space="0" w:color="auto"/>
              <w:bottom w:val="single" w:sz="4" w:space="0" w:color="auto"/>
              <w:right w:val="single" w:sz="4" w:space="0" w:color="auto"/>
            </w:tcBorders>
          </w:tcPr>
          <w:p w:rsidR="005B415B" w:rsidRPr="00D50E91" w:rsidRDefault="002D39B6" w:rsidP="00C65880">
            <w:pPr>
              <w:autoSpaceDE w:val="0"/>
              <w:autoSpaceDN w:val="0"/>
              <w:adjustRightInd w:val="0"/>
              <w:ind w:left="56" w:right="56"/>
              <w:rPr>
                <w:sz w:val="20"/>
                <w:szCs w:val="20"/>
              </w:rPr>
            </w:pPr>
            <w:r w:rsidRPr="00D50E91">
              <w:rPr>
                <w:sz w:val="20"/>
                <w:szCs w:val="20"/>
              </w:rPr>
              <w:t xml:space="preserve"> T</w:t>
            </w:r>
            <w:r w:rsidR="005B415B" w:rsidRPr="00D50E91">
              <w:rPr>
                <w:sz w:val="20"/>
                <w:szCs w:val="20"/>
              </w:rPr>
              <w:t>űzoltósági kulcsszéf</w:t>
            </w:r>
          </w:p>
        </w:tc>
        <w:tc>
          <w:tcPr>
            <w:tcW w:w="994"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 nap</w:t>
            </w:r>
          </w:p>
        </w:tc>
        <w:tc>
          <w:tcPr>
            <w:tcW w:w="1409" w:type="dxa"/>
            <w:gridSpan w:val="2"/>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tűzvédelmi üzemeltetési napló</w:t>
            </w:r>
          </w:p>
        </w:tc>
        <w:tc>
          <w:tcPr>
            <w:tcW w:w="169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6 hónap (+ 1 hét)</w:t>
            </w:r>
          </w:p>
        </w:tc>
        <w:tc>
          <w:tcPr>
            <w:tcW w:w="1429"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tűzvédelmi üzemeltetési napló</w:t>
            </w:r>
          </w:p>
        </w:tc>
        <w:tc>
          <w:tcPr>
            <w:tcW w:w="1700" w:type="dxa"/>
            <w:tcBorders>
              <w:top w:val="single" w:sz="4" w:space="0" w:color="auto"/>
              <w:left w:val="single" w:sz="4" w:space="0" w:color="auto"/>
              <w:bottom w:val="single" w:sz="4" w:space="0" w:color="auto"/>
              <w:right w:val="single" w:sz="4" w:space="0" w:color="auto"/>
            </w:tcBorders>
          </w:tcPr>
          <w:p w:rsidR="005B415B" w:rsidRPr="00D50E91" w:rsidRDefault="005B415B" w:rsidP="002D39B6">
            <w:pPr>
              <w:autoSpaceDE w:val="0"/>
              <w:autoSpaceDN w:val="0"/>
              <w:adjustRightInd w:val="0"/>
              <w:ind w:left="56" w:right="56"/>
              <w:jc w:val="center"/>
              <w:rPr>
                <w:sz w:val="20"/>
                <w:szCs w:val="20"/>
              </w:rPr>
            </w:pPr>
            <w:r w:rsidRPr="00D50E91">
              <w:rPr>
                <w:sz w:val="20"/>
                <w:szCs w:val="20"/>
              </w:rPr>
              <w:t xml:space="preserve"> </w:t>
            </w:r>
            <w:r w:rsidR="002D39B6" w:rsidRPr="00D50E91">
              <w:rPr>
                <w:sz w:val="20"/>
                <w:szCs w:val="20"/>
              </w:rPr>
              <w:t>a</w:t>
            </w:r>
            <w:r w:rsidRPr="00D50E91">
              <w:rPr>
                <w:sz w:val="20"/>
                <w:szCs w:val="20"/>
              </w:rPr>
              <w:t>z időszakos felülvizsgálattal egyidejűleg</w:t>
            </w:r>
          </w:p>
        </w:tc>
        <w:tc>
          <w:tcPr>
            <w:tcW w:w="1418"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tűzvédelmi üzemeltetési napló</w:t>
            </w:r>
          </w:p>
        </w:tc>
      </w:tr>
      <w:tr w:rsidR="005B415B" w:rsidRPr="00D50E91" w:rsidTr="002D39B6">
        <w:tc>
          <w:tcPr>
            <w:tcW w:w="566"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9</w:t>
            </w:r>
          </w:p>
        </w:tc>
        <w:tc>
          <w:tcPr>
            <w:tcW w:w="3400" w:type="dxa"/>
            <w:gridSpan w:val="2"/>
            <w:tcBorders>
              <w:top w:val="single" w:sz="4" w:space="0" w:color="auto"/>
              <w:left w:val="single" w:sz="4" w:space="0" w:color="auto"/>
              <w:bottom w:val="single" w:sz="4" w:space="0" w:color="auto"/>
              <w:right w:val="single" w:sz="4" w:space="0" w:color="auto"/>
            </w:tcBorders>
          </w:tcPr>
          <w:p w:rsidR="005B415B" w:rsidRPr="00D50E91" w:rsidRDefault="002D39B6" w:rsidP="00C65880">
            <w:pPr>
              <w:autoSpaceDE w:val="0"/>
              <w:autoSpaceDN w:val="0"/>
              <w:adjustRightInd w:val="0"/>
              <w:ind w:left="56" w:right="56"/>
              <w:rPr>
                <w:sz w:val="20"/>
                <w:szCs w:val="20"/>
              </w:rPr>
            </w:pPr>
            <w:r w:rsidRPr="00D50E91">
              <w:rPr>
                <w:sz w:val="20"/>
                <w:szCs w:val="20"/>
              </w:rPr>
              <w:t xml:space="preserve"> T</w:t>
            </w:r>
            <w:r w:rsidR="005B415B" w:rsidRPr="00D50E91">
              <w:rPr>
                <w:sz w:val="20"/>
                <w:szCs w:val="20"/>
              </w:rPr>
              <w:t>űzoltósági rádióerősítő</w:t>
            </w:r>
          </w:p>
        </w:tc>
        <w:tc>
          <w:tcPr>
            <w:tcW w:w="2403" w:type="dxa"/>
            <w:gridSpan w:val="3"/>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nincs követelmény</w:t>
            </w:r>
          </w:p>
        </w:tc>
        <w:tc>
          <w:tcPr>
            <w:tcW w:w="169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6 hónap (+ 1 hét)</w:t>
            </w:r>
          </w:p>
        </w:tc>
        <w:tc>
          <w:tcPr>
            <w:tcW w:w="1429"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tűzvédelmi üzemeltetési napló</w:t>
            </w:r>
          </w:p>
        </w:tc>
        <w:tc>
          <w:tcPr>
            <w:tcW w:w="1700" w:type="dxa"/>
            <w:tcBorders>
              <w:top w:val="single" w:sz="4" w:space="0" w:color="auto"/>
              <w:left w:val="single" w:sz="4" w:space="0" w:color="auto"/>
              <w:bottom w:val="single" w:sz="4" w:space="0" w:color="auto"/>
              <w:right w:val="single" w:sz="4" w:space="0" w:color="auto"/>
            </w:tcBorders>
          </w:tcPr>
          <w:p w:rsidR="005B415B" w:rsidRPr="00D50E91" w:rsidRDefault="005B415B" w:rsidP="002D39B6">
            <w:pPr>
              <w:autoSpaceDE w:val="0"/>
              <w:autoSpaceDN w:val="0"/>
              <w:adjustRightInd w:val="0"/>
              <w:ind w:left="56" w:right="56"/>
              <w:jc w:val="center"/>
              <w:rPr>
                <w:sz w:val="20"/>
                <w:szCs w:val="20"/>
              </w:rPr>
            </w:pPr>
            <w:r w:rsidRPr="00D50E91">
              <w:rPr>
                <w:sz w:val="20"/>
                <w:szCs w:val="20"/>
              </w:rPr>
              <w:t xml:space="preserve"> </w:t>
            </w:r>
            <w:r w:rsidR="002D39B6" w:rsidRPr="00D50E91">
              <w:rPr>
                <w:sz w:val="20"/>
                <w:szCs w:val="20"/>
              </w:rPr>
              <w:t>a</w:t>
            </w:r>
            <w:r w:rsidRPr="00D50E91">
              <w:rPr>
                <w:sz w:val="20"/>
                <w:szCs w:val="20"/>
              </w:rPr>
              <w:t>z időszakos felülvizsgálattal egyidejűleg</w:t>
            </w:r>
          </w:p>
        </w:tc>
        <w:tc>
          <w:tcPr>
            <w:tcW w:w="1418"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tűzvédelmi üzemeltetési napló</w:t>
            </w:r>
          </w:p>
        </w:tc>
      </w:tr>
      <w:tr w:rsidR="005B415B" w:rsidRPr="00D50E91" w:rsidTr="002D39B6">
        <w:tc>
          <w:tcPr>
            <w:tcW w:w="566"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10</w:t>
            </w:r>
          </w:p>
        </w:tc>
        <w:tc>
          <w:tcPr>
            <w:tcW w:w="3400" w:type="dxa"/>
            <w:gridSpan w:val="2"/>
            <w:tcBorders>
              <w:top w:val="single" w:sz="4" w:space="0" w:color="auto"/>
              <w:left w:val="single" w:sz="4" w:space="0" w:color="auto"/>
              <w:bottom w:val="single" w:sz="4" w:space="0" w:color="auto"/>
              <w:right w:val="single" w:sz="4" w:space="0" w:color="auto"/>
            </w:tcBorders>
          </w:tcPr>
          <w:p w:rsidR="005B415B" w:rsidRPr="00D50E91" w:rsidRDefault="002D39B6" w:rsidP="00C65880">
            <w:pPr>
              <w:autoSpaceDE w:val="0"/>
              <w:autoSpaceDN w:val="0"/>
              <w:adjustRightInd w:val="0"/>
              <w:ind w:left="56" w:right="56"/>
              <w:rPr>
                <w:sz w:val="20"/>
                <w:szCs w:val="20"/>
              </w:rPr>
            </w:pPr>
            <w:r w:rsidRPr="00D50E91">
              <w:rPr>
                <w:sz w:val="20"/>
                <w:szCs w:val="20"/>
              </w:rPr>
              <w:t xml:space="preserve"> T</w:t>
            </w:r>
            <w:r w:rsidR="005B415B" w:rsidRPr="00D50E91">
              <w:rPr>
                <w:sz w:val="20"/>
                <w:szCs w:val="20"/>
              </w:rPr>
              <w:t>űzoltó felvonó</w:t>
            </w:r>
          </w:p>
        </w:tc>
        <w:tc>
          <w:tcPr>
            <w:tcW w:w="1136" w:type="dxa"/>
            <w:gridSpan w:val="2"/>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3 hónap</w:t>
            </w:r>
            <w:r w:rsidRPr="00D50E91">
              <w:rPr>
                <w:sz w:val="20"/>
                <w:szCs w:val="20"/>
              </w:rPr>
              <w:br/>
              <w:t>(+ 1 hét)</w:t>
            </w:r>
          </w:p>
        </w:tc>
        <w:tc>
          <w:tcPr>
            <w:tcW w:w="1267"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tűzvédelmi üzemeltetési napló</w:t>
            </w:r>
          </w:p>
        </w:tc>
        <w:tc>
          <w:tcPr>
            <w:tcW w:w="169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12 hónap (+ 1 hét)</w:t>
            </w:r>
          </w:p>
        </w:tc>
        <w:tc>
          <w:tcPr>
            <w:tcW w:w="1429"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tűzvédelmi üzemeltetési napló</w:t>
            </w:r>
          </w:p>
        </w:tc>
        <w:tc>
          <w:tcPr>
            <w:tcW w:w="1700" w:type="dxa"/>
            <w:tcBorders>
              <w:top w:val="single" w:sz="4" w:space="0" w:color="auto"/>
              <w:left w:val="single" w:sz="4" w:space="0" w:color="auto"/>
              <w:bottom w:val="single" w:sz="4" w:space="0" w:color="auto"/>
              <w:right w:val="single" w:sz="4" w:space="0" w:color="auto"/>
            </w:tcBorders>
          </w:tcPr>
          <w:p w:rsidR="005B415B" w:rsidRPr="00D50E91" w:rsidRDefault="005B415B" w:rsidP="002D39B6">
            <w:pPr>
              <w:autoSpaceDE w:val="0"/>
              <w:autoSpaceDN w:val="0"/>
              <w:adjustRightInd w:val="0"/>
              <w:ind w:left="56" w:right="56"/>
              <w:jc w:val="center"/>
              <w:rPr>
                <w:sz w:val="20"/>
                <w:szCs w:val="20"/>
              </w:rPr>
            </w:pPr>
            <w:r w:rsidRPr="00D50E91">
              <w:rPr>
                <w:sz w:val="20"/>
                <w:szCs w:val="20"/>
              </w:rPr>
              <w:t xml:space="preserve"> </w:t>
            </w:r>
            <w:r w:rsidR="002D39B6" w:rsidRPr="00D50E91">
              <w:rPr>
                <w:sz w:val="20"/>
                <w:szCs w:val="20"/>
              </w:rPr>
              <w:t>a</w:t>
            </w:r>
            <w:r w:rsidRPr="00D50E91">
              <w:rPr>
                <w:sz w:val="20"/>
                <w:szCs w:val="20"/>
              </w:rPr>
              <w:t>z időszakos felülvizsgálattal egyidejűleg</w:t>
            </w:r>
          </w:p>
        </w:tc>
        <w:tc>
          <w:tcPr>
            <w:tcW w:w="1418"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tűzvédelmi üzemeltetési napló</w:t>
            </w:r>
          </w:p>
        </w:tc>
      </w:tr>
      <w:tr w:rsidR="005B415B" w:rsidRPr="00D50E91" w:rsidTr="002D39B6">
        <w:tc>
          <w:tcPr>
            <w:tcW w:w="566"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11</w:t>
            </w:r>
          </w:p>
        </w:tc>
        <w:tc>
          <w:tcPr>
            <w:tcW w:w="3400" w:type="dxa"/>
            <w:gridSpan w:val="2"/>
            <w:tcBorders>
              <w:top w:val="single" w:sz="4" w:space="0" w:color="auto"/>
              <w:left w:val="single" w:sz="4" w:space="0" w:color="auto"/>
              <w:bottom w:val="single" w:sz="4" w:space="0" w:color="auto"/>
              <w:right w:val="single" w:sz="4" w:space="0" w:color="auto"/>
            </w:tcBorders>
          </w:tcPr>
          <w:p w:rsidR="005B415B" w:rsidRPr="00D50E91" w:rsidRDefault="002D39B6" w:rsidP="00C65880">
            <w:pPr>
              <w:autoSpaceDE w:val="0"/>
              <w:autoSpaceDN w:val="0"/>
              <w:adjustRightInd w:val="0"/>
              <w:ind w:left="56" w:right="56"/>
              <w:rPr>
                <w:sz w:val="20"/>
                <w:szCs w:val="20"/>
              </w:rPr>
            </w:pPr>
            <w:r w:rsidRPr="00D50E91">
              <w:rPr>
                <w:sz w:val="20"/>
                <w:szCs w:val="20"/>
              </w:rPr>
              <w:t xml:space="preserve"> E</w:t>
            </w:r>
            <w:r w:rsidR="005B415B" w:rsidRPr="00D50E91">
              <w:rPr>
                <w:sz w:val="20"/>
                <w:szCs w:val="20"/>
              </w:rPr>
              <w:t>vakuációs hangrendszer</w:t>
            </w:r>
          </w:p>
        </w:tc>
        <w:tc>
          <w:tcPr>
            <w:tcW w:w="1136" w:type="dxa"/>
            <w:gridSpan w:val="2"/>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 nap</w:t>
            </w:r>
          </w:p>
        </w:tc>
        <w:tc>
          <w:tcPr>
            <w:tcW w:w="1267"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tűzvédelmi </w:t>
            </w:r>
            <w:r w:rsidRPr="00D50E91">
              <w:rPr>
                <w:sz w:val="20"/>
                <w:szCs w:val="20"/>
              </w:rPr>
              <w:lastRenderedPageBreak/>
              <w:t>üzemeltetési napló</w:t>
            </w:r>
          </w:p>
        </w:tc>
        <w:tc>
          <w:tcPr>
            <w:tcW w:w="169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lastRenderedPageBreak/>
              <w:t xml:space="preserve"> 6 hónap (+ 1 hét)</w:t>
            </w:r>
          </w:p>
        </w:tc>
        <w:tc>
          <w:tcPr>
            <w:tcW w:w="1429"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tűzvédelmi </w:t>
            </w:r>
            <w:r w:rsidRPr="00D50E91">
              <w:rPr>
                <w:sz w:val="20"/>
                <w:szCs w:val="20"/>
              </w:rPr>
              <w:lastRenderedPageBreak/>
              <w:t>üzemeltetési napló</w:t>
            </w:r>
          </w:p>
        </w:tc>
        <w:tc>
          <w:tcPr>
            <w:tcW w:w="1700" w:type="dxa"/>
            <w:tcBorders>
              <w:top w:val="single" w:sz="4" w:space="0" w:color="auto"/>
              <w:left w:val="single" w:sz="4" w:space="0" w:color="auto"/>
              <w:bottom w:val="single" w:sz="4" w:space="0" w:color="auto"/>
              <w:right w:val="single" w:sz="4" w:space="0" w:color="auto"/>
            </w:tcBorders>
          </w:tcPr>
          <w:p w:rsidR="005B415B" w:rsidRPr="00D50E91" w:rsidRDefault="005B415B" w:rsidP="002D39B6">
            <w:pPr>
              <w:autoSpaceDE w:val="0"/>
              <w:autoSpaceDN w:val="0"/>
              <w:adjustRightInd w:val="0"/>
              <w:ind w:left="56" w:right="56"/>
              <w:jc w:val="center"/>
              <w:rPr>
                <w:sz w:val="20"/>
                <w:szCs w:val="20"/>
              </w:rPr>
            </w:pPr>
            <w:r w:rsidRPr="00D50E91">
              <w:rPr>
                <w:sz w:val="20"/>
                <w:szCs w:val="20"/>
              </w:rPr>
              <w:lastRenderedPageBreak/>
              <w:t xml:space="preserve"> </w:t>
            </w:r>
            <w:r w:rsidR="002D39B6" w:rsidRPr="00D50E91">
              <w:rPr>
                <w:sz w:val="20"/>
                <w:szCs w:val="20"/>
              </w:rPr>
              <w:t>a</w:t>
            </w:r>
            <w:r w:rsidRPr="00D50E91">
              <w:rPr>
                <w:sz w:val="20"/>
                <w:szCs w:val="20"/>
              </w:rPr>
              <w:t xml:space="preserve">z időszakos </w:t>
            </w:r>
            <w:r w:rsidRPr="00D50E91">
              <w:rPr>
                <w:sz w:val="20"/>
                <w:szCs w:val="20"/>
              </w:rPr>
              <w:lastRenderedPageBreak/>
              <w:t>felülvizsgálattal egyidejűleg</w:t>
            </w:r>
          </w:p>
        </w:tc>
        <w:tc>
          <w:tcPr>
            <w:tcW w:w="1418"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lastRenderedPageBreak/>
              <w:t xml:space="preserve"> tűzvédelmi </w:t>
            </w:r>
            <w:r w:rsidRPr="00D50E91">
              <w:rPr>
                <w:sz w:val="20"/>
                <w:szCs w:val="20"/>
              </w:rPr>
              <w:lastRenderedPageBreak/>
              <w:t>üzemeltetési napló</w:t>
            </w:r>
          </w:p>
        </w:tc>
      </w:tr>
      <w:tr w:rsidR="005B415B" w:rsidRPr="00D50E91" w:rsidTr="002D39B6">
        <w:tc>
          <w:tcPr>
            <w:tcW w:w="566"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lastRenderedPageBreak/>
              <w:t xml:space="preserve"> 12</w:t>
            </w:r>
          </w:p>
        </w:tc>
        <w:tc>
          <w:tcPr>
            <w:tcW w:w="3400" w:type="dxa"/>
            <w:gridSpan w:val="2"/>
            <w:tcBorders>
              <w:top w:val="single" w:sz="4" w:space="0" w:color="auto"/>
              <w:left w:val="single" w:sz="4" w:space="0" w:color="auto"/>
              <w:bottom w:val="single" w:sz="4" w:space="0" w:color="auto"/>
              <w:right w:val="single" w:sz="4" w:space="0" w:color="auto"/>
            </w:tcBorders>
          </w:tcPr>
          <w:p w:rsidR="005B415B" w:rsidRPr="00D50E91" w:rsidRDefault="002D39B6" w:rsidP="00C65880">
            <w:pPr>
              <w:autoSpaceDE w:val="0"/>
              <w:autoSpaceDN w:val="0"/>
              <w:adjustRightInd w:val="0"/>
              <w:ind w:left="56" w:right="56"/>
              <w:rPr>
                <w:sz w:val="20"/>
                <w:szCs w:val="20"/>
              </w:rPr>
            </w:pPr>
            <w:r w:rsidRPr="00D50E91">
              <w:rPr>
                <w:sz w:val="20"/>
                <w:szCs w:val="20"/>
              </w:rPr>
              <w:t xml:space="preserve"> B</w:t>
            </w:r>
            <w:r w:rsidR="005B415B" w:rsidRPr="00D50E91">
              <w:rPr>
                <w:sz w:val="20"/>
                <w:szCs w:val="20"/>
              </w:rPr>
              <w:t>iztonsági világítás beleértve az annak részét képező, kívülről vagy belülről megvilágított menekülési jeleket,</w:t>
            </w:r>
          </w:p>
          <w:p w:rsidR="005B415B" w:rsidRPr="00D50E91" w:rsidRDefault="005B415B" w:rsidP="00C65880">
            <w:pPr>
              <w:autoSpaceDE w:val="0"/>
              <w:autoSpaceDN w:val="0"/>
              <w:adjustRightInd w:val="0"/>
              <w:ind w:left="56" w:right="56"/>
              <w:rPr>
                <w:sz w:val="20"/>
                <w:szCs w:val="20"/>
              </w:rPr>
            </w:pPr>
            <w:r w:rsidRPr="00D50E91">
              <w:rPr>
                <w:sz w:val="20"/>
                <w:szCs w:val="20"/>
              </w:rPr>
              <w:t>irányfényvilágítás</w:t>
            </w:r>
          </w:p>
        </w:tc>
        <w:tc>
          <w:tcPr>
            <w:tcW w:w="1136" w:type="dxa"/>
            <w:gridSpan w:val="2"/>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 hónap</w:t>
            </w:r>
          </w:p>
        </w:tc>
        <w:tc>
          <w:tcPr>
            <w:tcW w:w="1267"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tűzvédelmi üzemeltetési napló</w:t>
            </w:r>
          </w:p>
        </w:tc>
        <w:tc>
          <w:tcPr>
            <w:tcW w:w="169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12 hónap (+ 1 hét)</w:t>
            </w:r>
          </w:p>
        </w:tc>
        <w:tc>
          <w:tcPr>
            <w:tcW w:w="1429"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tűzvédelmi üzemeltetési napló</w:t>
            </w:r>
          </w:p>
        </w:tc>
        <w:tc>
          <w:tcPr>
            <w:tcW w:w="1700" w:type="dxa"/>
            <w:tcBorders>
              <w:top w:val="single" w:sz="4" w:space="0" w:color="auto"/>
              <w:left w:val="single" w:sz="4" w:space="0" w:color="auto"/>
              <w:bottom w:val="single" w:sz="4" w:space="0" w:color="auto"/>
              <w:right w:val="single" w:sz="4" w:space="0" w:color="auto"/>
            </w:tcBorders>
          </w:tcPr>
          <w:p w:rsidR="005B415B" w:rsidRPr="00D50E91" w:rsidRDefault="005B415B" w:rsidP="002D39B6">
            <w:pPr>
              <w:autoSpaceDE w:val="0"/>
              <w:autoSpaceDN w:val="0"/>
              <w:adjustRightInd w:val="0"/>
              <w:ind w:left="56" w:right="56"/>
              <w:jc w:val="center"/>
              <w:rPr>
                <w:sz w:val="20"/>
                <w:szCs w:val="20"/>
              </w:rPr>
            </w:pPr>
            <w:r w:rsidRPr="00D50E91">
              <w:rPr>
                <w:sz w:val="20"/>
                <w:szCs w:val="20"/>
              </w:rPr>
              <w:t xml:space="preserve"> </w:t>
            </w:r>
            <w:r w:rsidR="002D39B6" w:rsidRPr="00D50E91">
              <w:rPr>
                <w:sz w:val="20"/>
                <w:szCs w:val="20"/>
              </w:rPr>
              <w:t>a</w:t>
            </w:r>
            <w:r w:rsidRPr="00D50E91">
              <w:rPr>
                <w:sz w:val="20"/>
                <w:szCs w:val="20"/>
              </w:rPr>
              <w:t>z időszakos felülvizsgálattal egyidejűleg</w:t>
            </w:r>
          </w:p>
        </w:tc>
        <w:tc>
          <w:tcPr>
            <w:tcW w:w="1418"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tűzvédelmi üzemeltetési napló</w:t>
            </w:r>
          </w:p>
        </w:tc>
      </w:tr>
      <w:tr w:rsidR="005B415B" w:rsidRPr="00D50E91" w:rsidTr="002D39B6">
        <w:tc>
          <w:tcPr>
            <w:tcW w:w="566"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13</w:t>
            </w:r>
          </w:p>
        </w:tc>
        <w:tc>
          <w:tcPr>
            <w:tcW w:w="3400" w:type="dxa"/>
            <w:gridSpan w:val="2"/>
            <w:tcBorders>
              <w:top w:val="single" w:sz="4" w:space="0" w:color="auto"/>
              <w:left w:val="single" w:sz="4" w:space="0" w:color="auto"/>
              <w:bottom w:val="single" w:sz="4" w:space="0" w:color="auto"/>
              <w:right w:val="single" w:sz="4" w:space="0" w:color="auto"/>
            </w:tcBorders>
          </w:tcPr>
          <w:p w:rsidR="005B415B" w:rsidRPr="00D50E91" w:rsidRDefault="002D39B6" w:rsidP="00C65880">
            <w:pPr>
              <w:autoSpaceDE w:val="0"/>
              <w:autoSpaceDN w:val="0"/>
              <w:adjustRightInd w:val="0"/>
              <w:ind w:left="56" w:right="56"/>
              <w:rPr>
                <w:sz w:val="20"/>
                <w:szCs w:val="20"/>
              </w:rPr>
            </w:pPr>
            <w:r w:rsidRPr="00D50E91">
              <w:rPr>
                <w:sz w:val="20"/>
                <w:szCs w:val="20"/>
              </w:rPr>
              <w:t xml:space="preserve"> P</w:t>
            </w:r>
            <w:r w:rsidR="005B415B" w:rsidRPr="00D50E91">
              <w:rPr>
                <w:sz w:val="20"/>
                <w:szCs w:val="20"/>
              </w:rPr>
              <w:t>ánikzár, vészkijárati zár, vészkijárat biztosító rendszer</w:t>
            </w:r>
          </w:p>
        </w:tc>
        <w:tc>
          <w:tcPr>
            <w:tcW w:w="1136" w:type="dxa"/>
            <w:gridSpan w:val="2"/>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Minden rendezvény előtt , de legalább 3 hónap</w:t>
            </w:r>
            <w:r w:rsidRPr="00D50E91">
              <w:rPr>
                <w:sz w:val="20"/>
                <w:szCs w:val="20"/>
              </w:rPr>
              <w:br/>
              <w:t>(+ 1 hét)</w:t>
            </w:r>
          </w:p>
        </w:tc>
        <w:tc>
          <w:tcPr>
            <w:tcW w:w="1267"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tűzvédelmi üzemeltetési napló</w:t>
            </w:r>
          </w:p>
        </w:tc>
        <w:tc>
          <w:tcPr>
            <w:tcW w:w="169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6 hónap (+ 1 hét)</w:t>
            </w:r>
          </w:p>
        </w:tc>
        <w:tc>
          <w:tcPr>
            <w:tcW w:w="1429"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tűzvédelmi üzemeltetési napló</w:t>
            </w:r>
          </w:p>
        </w:tc>
        <w:tc>
          <w:tcPr>
            <w:tcW w:w="1700" w:type="dxa"/>
            <w:tcBorders>
              <w:top w:val="single" w:sz="4" w:space="0" w:color="auto"/>
              <w:left w:val="single" w:sz="4" w:space="0" w:color="auto"/>
              <w:bottom w:val="single" w:sz="4" w:space="0" w:color="auto"/>
              <w:right w:val="single" w:sz="4" w:space="0" w:color="auto"/>
            </w:tcBorders>
          </w:tcPr>
          <w:p w:rsidR="005B415B" w:rsidRPr="00D50E91" w:rsidRDefault="005B415B" w:rsidP="002D39B6">
            <w:pPr>
              <w:autoSpaceDE w:val="0"/>
              <w:autoSpaceDN w:val="0"/>
              <w:adjustRightInd w:val="0"/>
              <w:ind w:left="56" w:right="56"/>
              <w:jc w:val="center"/>
              <w:rPr>
                <w:sz w:val="20"/>
                <w:szCs w:val="20"/>
              </w:rPr>
            </w:pPr>
            <w:r w:rsidRPr="00D50E91">
              <w:rPr>
                <w:sz w:val="20"/>
                <w:szCs w:val="20"/>
              </w:rPr>
              <w:t xml:space="preserve"> </w:t>
            </w:r>
            <w:r w:rsidR="002D39B6" w:rsidRPr="00D50E91">
              <w:rPr>
                <w:sz w:val="20"/>
                <w:szCs w:val="20"/>
              </w:rPr>
              <w:t>a</w:t>
            </w:r>
            <w:r w:rsidRPr="00D50E91">
              <w:rPr>
                <w:sz w:val="20"/>
                <w:szCs w:val="20"/>
              </w:rPr>
              <w:t>z időszakos felülvizsgálattal egyidejűleg</w:t>
            </w:r>
          </w:p>
        </w:tc>
        <w:tc>
          <w:tcPr>
            <w:tcW w:w="1418"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tűzvédelmi üzemeltetési napló</w:t>
            </w:r>
          </w:p>
        </w:tc>
      </w:tr>
      <w:tr w:rsidR="005B415B" w:rsidRPr="00D50E91" w:rsidTr="002D39B6">
        <w:tc>
          <w:tcPr>
            <w:tcW w:w="566"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14</w:t>
            </w:r>
          </w:p>
        </w:tc>
        <w:tc>
          <w:tcPr>
            <w:tcW w:w="1700" w:type="dxa"/>
            <w:tcBorders>
              <w:top w:val="single" w:sz="4" w:space="0" w:color="auto"/>
              <w:left w:val="single" w:sz="4" w:space="0" w:color="auto"/>
              <w:bottom w:val="nil"/>
              <w:right w:val="single" w:sz="4" w:space="0" w:color="auto"/>
            </w:tcBorders>
          </w:tcPr>
          <w:p w:rsidR="005B415B" w:rsidRPr="00D50E91" w:rsidRDefault="005B415B" w:rsidP="00C65880">
            <w:pPr>
              <w:autoSpaceDE w:val="0"/>
              <w:autoSpaceDN w:val="0"/>
              <w:adjustRightInd w:val="0"/>
              <w:rPr>
                <w:sz w:val="20"/>
                <w:szCs w:val="20"/>
              </w:rPr>
            </w:pPr>
            <w:r w:rsidRPr="00D50E91">
              <w:rPr>
                <w:sz w:val="20"/>
                <w:szCs w:val="20"/>
              </w:rPr>
              <w:t xml:space="preserve"> </w:t>
            </w:r>
          </w:p>
        </w:tc>
        <w:tc>
          <w:tcPr>
            <w:tcW w:w="170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rPr>
                <w:sz w:val="20"/>
                <w:szCs w:val="20"/>
              </w:rPr>
            </w:pPr>
            <w:r w:rsidRPr="00D50E91">
              <w:rPr>
                <w:sz w:val="20"/>
                <w:szCs w:val="20"/>
              </w:rPr>
              <w:t xml:space="preserve"> tűzgátló nyílászárók</w:t>
            </w:r>
          </w:p>
        </w:tc>
        <w:tc>
          <w:tcPr>
            <w:tcW w:w="1136" w:type="dxa"/>
            <w:gridSpan w:val="2"/>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 hónap</w:t>
            </w:r>
          </w:p>
        </w:tc>
        <w:tc>
          <w:tcPr>
            <w:tcW w:w="1267"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tűzvédelmi üzemeltetési napló</w:t>
            </w:r>
          </w:p>
        </w:tc>
        <w:tc>
          <w:tcPr>
            <w:tcW w:w="169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6 hónap (+ 1 hét)</w:t>
            </w:r>
          </w:p>
        </w:tc>
        <w:tc>
          <w:tcPr>
            <w:tcW w:w="1429"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tűzvédelmi üzemeltetési napló</w:t>
            </w:r>
          </w:p>
        </w:tc>
        <w:tc>
          <w:tcPr>
            <w:tcW w:w="1700" w:type="dxa"/>
            <w:tcBorders>
              <w:top w:val="single" w:sz="4" w:space="0" w:color="auto"/>
              <w:left w:val="single" w:sz="4" w:space="0" w:color="auto"/>
              <w:bottom w:val="single" w:sz="4" w:space="0" w:color="auto"/>
              <w:right w:val="single" w:sz="4" w:space="0" w:color="auto"/>
            </w:tcBorders>
          </w:tcPr>
          <w:p w:rsidR="005B415B" w:rsidRPr="00D50E91" w:rsidRDefault="005B415B" w:rsidP="002D39B6">
            <w:pPr>
              <w:autoSpaceDE w:val="0"/>
              <w:autoSpaceDN w:val="0"/>
              <w:adjustRightInd w:val="0"/>
              <w:ind w:left="56" w:right="56"/>
              <w:jc w:val="center"/>
              <w:rPr>
                <w:sz w:val="20"/>
                <w:szCs w:val="20"/>
              </w:rPr>
            </w:pPr>
            <w:r w:rsidRPr="00D50E91">
              <w:rPr>
                <w:sz w:val="20"/>
                <w:szCs w:val="20"/>
              </w:rPr>
              <w:t xml:space="preserve"> </w:t>
            </w:r>
            <w:r w:rsidR="002D39B6" w:rsidRPr="00D50E91">
              <w:rPr>
                <w:sz w:val="20"/>
                <w:szCs w:val="20"/>
              </w:rPr>
              <w:t>a</w:t>
            </w:r>
            <w:r w:rsidRPr="00D50E91">
              <w:rPr>
                <w:sz w:val="20"/>
                <w:szCs w:val="20"/>
              </w:rPr>
              <w:t>z időszakos felülvizsgálattal egyidejűleg</w:t>
            </w:r>
          </w:p>
        </w:tc>
        <w:tc>
          <w:tcPr>
            <w:tcW w:w="1418"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tűzvédelmi üzemeltetési napló</w:t>
            </w:r>
          </w:p>
        </w:tc>
      </w:tr>
      <w:tr w:rsidR="005B415B" w:rsidRPr="00D50E91" w:rsidTr="002D39B6">
        <w:tc>
          <w:tcPr>
            <w:tcW w:w="566"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15</w:t>
            </w:r>
          </w:p>
        </w:tc>
        <w:tc>
          <w:tcPr>
            <w:tcW w:w="1700" w:type="dxa"/>
            <w:tcBorders>
              <w:top w:val="nil"/>
              <w:left w:val="single" w:sz="4" w:space="0" w:color="auto"/>
              <w:bottom w:val="single" w:sz="4" w:space="0" w:color="auto"/>
              <w:right w:val="single" w:sz="4" w:space="0" w:color="auto"/>
            </w:tcBorders>
          </w:tcPr>
          <w:p w:rsidR="005B415B" w:rsidRPr="00D50E91" w:rsidRDefault="002D39B6" w:rsidP="00C65880">
            <w:pPr>
              <w:autoSpaceDE w:val="0"/>
              <w:autoSpaceDN w:val="0"/>
              <w:adjustRightInd w:val="0"/>
              <w:ind w:left="56" w:right="56"/>
              <w:rPr>
                <w:sz w:val="20"/>
                <w:szCs w:val="20"/>
              </w:rPr>
            </w:pPr>
            <w:r w:rsidRPr="00D50E91">
              <w:rPr>
                <w:sz w:val="20"/>
                <w:szCs w:val="20"/>
              </w:rPr>
              <w:t xml:space="preserve"> T</w:t>
            </w:r>
            <w:r w:rsidR="005B415B" w:rsidRPr="00D50E91">
              <w:rPr>
                <w:sz w:val="20"/>
                <w:szCs w:val="20"/>
              </w:rPr>
              <w:t>űzgátló lezárások</w:t>
            </w:r>
          </w:p>
        </w:tc>
        <w:tc>
          <w:tcPr>
            <w:tcW w:w="1700" w:type="dxa"/>
            <w:tcBorders>
              <w:top w:val="single" w:sz="4" w:space="0" w:color="auto"/>
              <w:left w:val="single" w:sz="4" w:space="0" w:color="auto"/>
              <w:bottom w:val="single" w:sz="4" w:space="0" w:color="auto"/>
              <w:right w:val="single" w:sz="4" w:space="0" w:color="auto"/>
            </w:tcBorders>
          </w:tcPr>
          <w:p w:rsidR="005B415B" w:rsidRPr="00D50E91" w:rsidRDefault="00997DAA" w:rsidP="00997DAA">
            <w:pPr>
              <w:autoSpaceDE w:val="0"/>
              <w:autoSpaceDN w:val="0"/>
              <w:adjustRightInd w:val="0"/>
              <w:ind w:left="56" w:right="56"/>
              <w:rPr>
                <w:sz w:val="20"/>
                <w:szCs w:val="20"/>
              </w:rPr>
            </w:pPr>
            <w:r w:rsidRPr="00D50E91">
              <w:rPr>
                <w:sz w:val="20"/>
                <w:szCs w:val="20"/>
              </w:rPr>
              <w:t xml:space="preserve"> m</w:t>
            </w:r>
            <w:r w:rsidR="005B415B" w:rsidRPr="00D50E91">
              <w:rPr>
                <w:sz w:val="20"/>
                <w:szCs w:val="20"/>
              </w:rPr>
              <w:t>ozgó elemet tartalmazó tűzgátló záróelemek</w:t>
            </w:r>
          </w:p>
        </w:tc>
        <w:tc>
          <w:tcPr>
            <w:tcW w:w="2403" w:type="dxa"/>
            <w:gridSpan w:val="3"/>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nincs követelmény</w:t>
            </w:r>
          </w:p>
        </w:tc>
        <w:tc>
          <w:tcPr>
            <w:tcW w:w="169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6 hónap</w:t>
            </w:r>
            <w:r w:rsidRPr="00D50E91">
              <w:rPr>
                <w:sz w:val="20"/>
                <w:szCs w:val="20"/>
              </w:rPr>
              <w:br/>
              <w:t>(+ 1 hét)</w:t>
            </w:r>
          </w:p>
        </w:tc>
        <w:tc>
          <w:tcPr>
            <w:tcW w:w="1429"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tűzvédelmi üzemeltetési napló</w:t>
            </w:r>
          </w:p>
        </w:tc>
        <w:tc>
          <w:tcPr>
            <w:tcW w:w="1700" w:type="dxa"/>
            <w:tcBorders>
              <w:top w:val="single" w:sz="4" w:space="0" w:color="auto"/>
              <w:left w:val="single" w:sz="4" w:space="0" w:color="auto"/>
              <w:bottom w:val="single" w:sz="4" w:space="0" w:color="auto"/>
              <w:right w:val="single" w:sz="4" w:space="0" w:color="auto"/>
            </w:tcBorders>
          </w:tcPr>
          <w:p w:rsidR="005B415B" w:rsidRPr="00D50E91" w:rsidRDefault="005B415B" w:rsidP="002D39B6">
            <w:pPr>
              <w:autoSpaceDE w:val="0"/>
              <w:autoSpaceDN w:val="0"/>
              <w:adjustRightInd w:val="0"/>
              <w:ind w:left="56" w:right="56"/>
              <w:jc w:val="center"/>
              <w:rPr>
                <w:sz w:val="20"/>
                <w:szCs w:val="20"/>
              </w:rPr>
            </w:pPr>
            <w:r w:rsidRPr="00D50E91">
              <w:rPr>
                <w:sz w:val="20"/>
                <w:szCs w:val="20"/>
              </w:rPr>
              <w:t xml:space="preserve"> </w:t>
            </w:r>
            <w:r w:rsidR="002D39B6" w:rsidRPr="00D50E91">
              <w:rPr>
                <w:sz w:val="20"/>
                <w:szCs w:val="20"/>
              </w:rPr>
              <w:t>a</w:t>
            </w:r>
            <w:r w:rsidRPr="00D50E91">
              <w:rPr>
                <w:sz w:val="20"/>
                <w:szCs w:val="20"/>
              </w:rPr>
              <w:t>z időszakos felülvizsgálattal egyidejűleg</w:t>
            </w:r>
          </w:p>
        </w:tc>
        <w:tc>
          <w:tcPr>
            <w:tcW w:w="1418"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tűzvédelmi üzemeltetési napló</w:t>
            </w:r>
          </w:p>
        </w:tc>
      </w:tr>
      <w:tr w:rsidR="005B415B" w:rsidRPr="00D50E91" w:rsidTr="002D39B6">
        <w:tc>
          <w:tcPr>
            <w:tcW w:w="566"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16</w:t>
            </w:r>
          </w:p>
        </w:tc>
        <w:tc>
          <w:tcPr>
            <w:tcW w:w="1700" w:type="dxa"/>
            <w:tcBorders>
              <w:top w:val="single" w:sz="4" w:space="0" w:color="auto"/>
              <w:left w:val="single" w:sz="4" w:space="0" w:color="auto"/>
              <w:bottom w:val="nil"/>
              <w:right w:val="single" w:sz="4" w:space="0" w:color="auto"/>
            </w:tcBorders>
          </w:tcPr>
          <w:p w:rsidR="005B415B" w:rsidRPr="00D50E91" w:rsidRDefault="005B415B" w:rsidP="00C65880">
            <w:pPr>
              <w:autoSpaceDE w:val="0"/>
              <w:autoSpaceDN w:val="0"/>
              <w:adjustRightInd w:val="0"/>
              <w:rPr>
                <w:sz w:val="20"/>
                <w:szCs w:val="20"/>
              </w:rPr>
            </w:pPr>
            <w:r w:rsidRPr="00D50E91">
              <w:rPr>
                <w:sz w:val="20"/>
                <w:szCs w:val="20"/>
              </w:rPr>
              <w:t xml:space="preserve"> </w:t>
            </w:r>
          </w:p>
        </w:tc>
        <w:tc>
          <w:tcPr>
            <w:tcW w:w="170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rPr>
                <w:sz w:val="20"/>
                <w:szCs w:val="20"/>
              </w:rPr>
            </w:pPr>
            <w:r w:rsidRPr="00D50E91">
              <w:rPr>
                <w:sz w:val="20"/>
                <w:szCs w:val="20"/>
              </w:rPr>
              <w:t xml:space="preserve"> füstelvezető, légpótló szerkezet</w:t>
            </w:r>
          </w:p>
        </w:tc>
        <w:tc>
          <w:tcPr>
            <w:tcW w:w="1136" w:type="dxa"/>
            <w:gridSpan w:val="2"/>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3 hónap</w:t>
            </w:r>
            <w:r w:rsidRPr="00D50E91">
              <w:rPr>
                <w:sz w:val="20"/>
                <w:szCs w:val="20"/>
              </w:rPr>
              <w:br/>
              <w:t>(+ 1 hét)</w:t>
            </w:r>
          </w:p>
        </w:tc>
        <w:tc>
          <w:tcPr>
            <w:tcW w:w="1267"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tűzvédelmi üzemeltetési napló</w:t>
            </w:r>
          </w:p>
        </w:tc>
        <w:tc>
          <w:tcPr>
            <w:tcW w:w="169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6 hónap (+ 1 hét)</w:t>
            </w:r>
          </w:p>
        </w:tc>
        <w:tc>
          <w:tcPr>
            <w:tcW w:w="1429"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tűzvédelmi üzemeltetési napló</w:t>
            </w:r>
          </w:p>
        </w:tc>
        <w:tc>
          <w:tcPr>
            <w:tcW w:w="1700" w:type="dxa"/>
            <w:tcBorders>
              <w:top w:val="single" w:sz="4" w:space="0" w:color="auto"/>
              <w:left w:val="single" w:sz="4" w:space="0" w:color="auto"/>
              <w:bottom w:val="single" w:sz="4" w:space="0" w:color="auto"/>
              <w:right w:val="single" w:sz="4" w:space="0" w:color="auto"/>
            </w:tcBorders>
          </w:tcPr>
          <w:p w:rsidR="005B415B" w:rsidRPr="00D50E91" w:rsidRDefault="005B415B" w:rsidP="002D39B6">
            <w:pPr>
              <w:autoSpaceDE w:val="0"/>
              <w:autoSpaceDN w:val="0"/>
              <w:adjustRightInd w:val="0"/>
              <w:ind w:left="56" w:right="56"/>
              <w:jc w:val="center"/>
              <w:rPr>
                <w:sz w:val="20"/>
                <w:szCs w:val="20"/>
              </w:rPr>
            </w:pPr>
            <w:r w:rsidRPr="00D50E91">
              <w:rPr>
                <w:sz w:val="20"/>
                <w:szCs w:val="20"/>
              </w:rPr>
              <w:t xml:space="preserve"> </w:t>
            </w:r>
            <w:r w:rsidR="002D39B6" w:rsidRPr="00D50E91">
              <w:rPr>
                <w:sz w:val="20"/>
                <w:szCs w:val="20"/>
              </w:rPr>
              <w:t>a</w:t>
            </w:r>
            <w:r w:rsidRPr="00D50E91">
              <w:rPr>
                <w:sz w:val="20"/>
                <w:szCs w:val="20"/>
              </w:rPr>
              <w:t>z időszakos felülvizsgálattal egyidejűleg</w:t>
            </w:r>
          </w:p>
        </w:tc>
        <w:tc>
          <w:tcPr>
            <w:tcW w:w="1418"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tűzvédelmi üzemeltetési napló</w:t>
            </w:r>
          </w:p>
        </w:tc>
      </w:tr>
      <w:tr w:rsidR="005B415B" w:rsidRPr="00D50E91" w:rsidTr="002D39B6">
        <w:tc>
          <w:tcPr>
            <w:tcW w:w="566"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17</w:t>
            </w:r>
          </w:p>
        </w:tc>
        <w:tc>
          <w:tcPr>
            <w:tcW w:w="1700" w:type="dxa"/>
            <w:tcBorders>
              <w:top w:val="nil"/>
              <w:left w:val="single" w:sz="4" w:space="0" w:color="auto"/>
              <w:bottom w:val="nil"/>
              <w:right w:val="single" w:sz="4" w:space="0" w:color="auto"/>
            </w:tcBorders>
          </w:tcPr>
          <w:p w:rsidR="005B415B" w:rsidRPr="00D50E91" w:rsidRDefault="005B415B" w:rsidP="00C65880">
            <w:pPr>
              <w:autoSpaceDE w:val="0"/>
              <w:autoSpaceDN w:val="0"/>
              <w:adjustRightInd w:val="0"/>
              <w:rPr>
                <w:sz w:val="20"/>
                <w:szCs w:val="20"/>
              </w:rPr>
            </w:pPr>
            <w:r w:rsidRPr="00D50E91">
              <w:rPr>
                <w:sz w:val="20"/>
                <w:szCs w:val="20"/>
              </w:rPr>
              <w:t xml:space="preserve"> </w:t>
            </w:r>
          </w:p>
        </w:tc>
        <w:tc>
          <w:tcPr>
            <w:tcW w:w="170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rPr>
                <w:sz w:val="20"/>
                <w:szCs w:val="20"/>
              </w:rPr>
            </w:pPr>
            <w:r w:rsidRPr="00D50E91">
              <w:rPr>
                <w:sz w:val="20"/>
                <w:szCs w:val="20"/>
              </w:rPr>
              <w:t xml:space="preserve"> füstelszívó, légpótló ventilátor</w:t>
            </w:r>
          </w:p>
        </w:tc>
        <w:tc>
          <w:tcPr>
            <w:tcW w:w="1136" w:type="dxa"/>
            <w:gridSpan w:val="2"/>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3 hónap</w:t>
            </w:r>
            <w:r w:rsidRPr="00D50E91">
              <w:rPr>
                <w:sz w:val="20"/>
                <w:szCs w:val="20"/>
              </w:rPr>
              <w:br/>
              <w:t>(+ 1 hét)</w:t>
            </w:r>
          </w:p>
        </w:tc>
        <w:tc>
          <w:tcPr>
            <w:tcW w:w="1267"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tűzvédelmi üzemeltetési napló</w:t>
            </w:r>
          </w:p>
        </w:tc>
        <w:tc>
          <w:tcPr>
            <w:tcW w:w="169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6 hónap (+ 1 hét)</w:t>
            </w:r>
          </w:p>
        </w:tc>
        <w:tc>
          <w:tcPr>
            <w:tcW w:w="1429"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tűzvédelmi üzemeltetési napló</w:t>
            </w:r>
          </w:p>
        </w:tc>
        <w:tc>
          <w:tcPr>
            <w:tcW w:w="1700" w:type="dxa"/>
            <w:tcBorders>
              <w:top w:val="single" w:sz="4" w:space="0" w:color="auto"/>
              <w:left w:val="single" w:sz="4" w:space="0" w:color="auto"/>
              <w:bottom w:val="single" w:sz="4" w:space="0" w:color="auto"/>
              <w:right w:val="single" w:sz="4" w:space="0" w:color="auto"/>
            </w:tcBorders>
          </w:tcPr>
          <w:p w:rsidR="005B415B" w:rsidRPr="00D50E91" w:rsidRDefault="005B415B" w:rsidP="002D39B6">
            <w:pPr>
              <w:autoSpaceDE w:val="0"/>
              <w:autoSpaceDN w:val="0"/>
              <w:adjustRightInd w:val="0"/>
              <w:ind w:left="56" w:right="56"/>
              <w:jc w:val="center"/>
              <w:rPr>
                <w:sz w:val="20"/>
                <w:szCs w:val="20"/>
              </w:rPr>
            </w:pPr>
            <w:r w:rsidRPr="00D50E91">
              <w:rPr>
                <w:sz w:val="20"/>
                <w:szCs w:val="20"/>
              </w:rPr>
              <w:t xml:space="preserve"> </w:t>
            </w:r>
            <w:r w:rsidR="002D39B6" w:rsidRPr="00D50E91">
              <w:rPr>
                <w:sz w:val="20"/>
                <w:szCs w:val="20"/>
              </w:rPr>
              <w:t>a</w:t>
            </w:r>
            <w:r w:rsidRPr="00D50E91">
              <w:rPr>
                <w:sz w:val="20"/>
                <w:szCs w:val="20"/>
              </w:rPr>
              <w:t>z időszakos felülvizsgálattal egyidejűleg</w:t>
            </w:r>
          </w:p>
        </w:tc>
        <w:tc>
          <w:tcPr>
            <w:tcW w:w="1418"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tűzvédelmi üzemeltetési napló</w:t>
            </w:r>
          </w:p>
        </w:tc>
      </w:tr>
      <w:tr w:rsidR="005B415B" w:rsidRPr="00D50E91" w:rsidTr="002D39B6">
        <w:tc>
          <w:tcPr>
            <w:tcW w:w="566"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18</w:t>
            </w:r>
          </w:p>
        </w:tc>
        <w:tc>
          <w:tcPr>
            <w:tcW w:w="1700" w:type="dxa"/>
            <w:tcBorders>
              <w:top w:val="nil"/>
              <w:left w:val="single" w:sz="4" w:space="0" w:color="auto"/>
              <w:bottom w:val="nil"/>
              <w:right w:val="single" w:sz="4" w:space="0" w:color="auto"/>
            </w:tcBorders>
          </w:tcPr>
          <w:p w:rsidR="005B415B" w:rsidRPr="00D50E91" w:rsidRDefault="005B415B" w:rsidP="00C65880">
            <w:pPr>
              <w:autoSpaceDE w:val="0"/>
              <w:autoSpaceDN w:val="0"/>
              <w:adjustRightInd w:val="0"/>
              <w:rPr>
                <w:sz w:val="20"/>
                <w:szCs w:val="20"/>
              </w:rPr>
            </w:pPr>
            <w:r w:rsidRPr="00D50E91">
              <w:rPr>
                <w:sz w:val="20"/>
                <w:szCs w:val="20"/>
              </w:rPr>
              <w:t xml:space="preserve"> </w:t>
            </w:r>
          </w:p>
        </w:tc>
        <w:tc>
          <w:tcPr>
            <w:tcW w:w="170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rPr>
                <w:sz w:val="20"/>
                <w:szCs w:val="20"/>
              </w:rPr>
            </w:pPr>
            <w:r w:rsidRPr="00D50E91">
              <w:rPr>
                <w:sz w:val="20"/>
                <w:szCs w:val="20"/>
              </w:rPr>
              <w:t xml:space="preserve"> füstmentesítő ventilátor</w:t>
            </w:r>
          </w:p>
        </w:tc>
        <w:tc>
          <w:tcPr>
            <w:tcW w:w="1136" w:type="dxa"/>
            <w:gridSpan w:val="2"/>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3 hónap</w:t>
            </w:r>
            <w:r w:rsidRPr="00D50E91">
              <w:rPr>
                <w:sz w:val="20"/>
                <w:szCs w:val="20"/>
              </w:rPr>
              <w:br/>
              <w:t>(+ 1 hét)</w:t>
            </w:r>
          </w:p>
        </w:tc>
        <w:tc>
          <w:tcPr>
            <w:tcW w:w="1267"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tűzvédelmi üzemeltetési napló</w:t>
            </w:r>
          </w:p>
        </w:tc>
        <w:tc>
          <w:tcPr>
            <w:tcW w:w="169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6 hónap (+ 1 hét)</w:t>
            </w:r>
          </w:p>
        </w:tc>
        <w:tc>
          <w:tcPr>
            <w:tcW w:w="1429"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tűzvédelmi üzemeltetési napló</w:t>
            </w:r>
          </w:p>
        </w:tc>
        <w:tc>
          <w:tcPr>
            <w:tcW w:w="1700" w:type="dxa"/>
            <w:tcBorders>
              <w:top w:val="single" w:sz="4" w:space="0" w:color="auto"/>
              <w:left w:val="single" w:sz="4" w:space="0" w:color="auto"/>
              <w:bottom w:val="single" w:sz="4" w:space="0" w:color="auto"/>
              <w:right w:val="single" w:sz="4" w:space="0" w:color="auto"/>
            </w:tcBorders>
          </w:tcPr>
          <w:p w:rsidR="005B415B" w:rsidRPr="00D50E91" w:rsidRDefault="005B415B" w:rsidP="002D39B6">
            <w:pPr>
              <w:autoSpaceDE w:val="0"/>
              <w:autoSpaceDN w:val="0"/>
              <w:adjustRightInd w:val="0"/>
              <w:ind w:left="56" w:right="56"/>
              <w:jc w:val="center"/>
              <w:rPr>
                <w:sz w:val="20"/>
                <w:szCs w:val="20"/>
              </w:rPr>
            </w:pPr>
            <w:r w:rsidRPr="00D50E91">
              <w:rPr>
                <w:sz w:val="20"/>
                <w:szCs w:val="20"/>
              </w:rPr>
              <w:t xml:space="preserve"> </w:t>
            </w:r>
            <w:r w:rsidR="002D39B6" w:rsidRPr="00D50E91">
              <w:rPr>
                <w:sz w:val="20"/>
                <w:szCs w:val="20"/>
              </w:rPr>
              <w:t>a</w:t>
            </w:r>
            <w:r w:rsidRPr="00D50E91">
              <w:rPr>
                <w:sz w:val="20"/>
                <w:szCs w:val="20"/>
              </w:rPr>
              <w:t>z időszakos felülvizsgálattal egyidejűleg</w:t>
            </w:r>
          </w:p>
        </w:tc>
        <w:tc>
          <w:tcPr>
            <w:tcW w:w="1418"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tűzvédelmi üzemeltetési napló</w:t>
            </w:r>
          </w:p>
        </w:tc>
      </w:tr>
      <w:tr w:rsidR="005B415B" w:rsidRPr="00D50E91" w:rsidTr="002D39B6">
        <w:tc>
          <w:tcPr>
            <w:tcW w:w="566"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19</w:t>
            </w:r>
          </w:p>
        </w:tc>
        <w:tc>
          <w:tcPr>
            <w:tcW w:w="1700" w:type="dxa"/>
            <w:tcBorders>
              <w:top w:val="nil"/>
              <w:left w:val="single" w:sz="4" w:space="0" w:color="auto"/>
              <w:bottom w:val="nil"/>
              <w:right w:val="single" w:sz="4" w:space="0" w:color="auto"/>
            </w:tcBorders>
          </w:tcPr>
          <w:p w:rsidR="005B415B" w:rsidRPr="00D50E91" w:rsidRDefault="002D39B6" w:rsidP="00C65880">
            <w:pPr>
              <w:autoSpaceDE w:val="0"/>
              <w:autoSpaceDN w:val="0"/>
              <w:adjustRightInd w:val="0"/>
              <w:ind w:left="56" w:right="56"/>
              <w:rPr>
                <w:sz w:val="20"/>
                <w:szCs w:val="20"/>
              </w:rPr>
            </w:pPr>
            <w:r w:rsidRPr="00D50E91">
              <w:rPr>
                <w:sz w:val="20"/>
                <w:szCs w:val="20"/>
              </w:rPr>
              <w:t xml:space="preserve"> H</w:t>
            </w:r>
            <w:r w:rsidR="005B415B" w:rsidRPr="00D50E91">
              <w:rPr>
                <w:sz w:val="20"/>
                <w:szCs w:val="20"/>
              </w:rPr>
              <w:t>ő és füst elleni védelem megoldásai</w:t>
            </w:r>
          </w:p>
        </w:tc>
        <w:tc>
          <w:tcPr>
            <w:tcW w:w="170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rPr>
                <w:sz w:val="20"/>
                <w:szCs w:val="20"/>
              </w:rPr>
            </w:pPr>
            <w:r w:rsidRPr="00D50E91">
              <w:rPr>
                <w:sz w:val="20"/>
                <w:szCs w:val="20"/>
              </w:rPr>
              <w:t xml:space="preserve"> füstcsappantyú, zsalu</w:t>
            </w:r>
          </w:p>
        </w:tc>
        <w:tc>
          <w:tcPr>
            <w:tcW w:w="1136" w:type="dxa"/>
            <w:gridSpan w:val="2"/>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3 hónap</w:t>
            </w:r>
            <w:r w:rsidRPr="00D50E91">
              <w:rPr>
                <w:sz w:val="20"/>
                <w:szCs w:val="20"/>
              </w:rPr>
              <w:br/>
              <w:t>(+ 1 hét)</w:t>
            </w:r>
          </w:p>
        </w:tc>
        <w:tc>
          <w:tcPr>
            <w:tcW w:w="1267"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tűzvédelmi üzemeltetési napló</w:t>
            </w:r>
          </w:p>
        </w:tc>
        <w:tc>
          <w:tcPr>
            <w:tcW w:w="169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6 hónap (+ 1 hét)</w:t>
            </w:r>
          </w:p>
        </w:tc>
        <w:tc>
          <w:tcPr>
            <w:tcW w:w="1429"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tűzvédelmi üzemeltetési napló</w:t>
            </w:r>
          </w:p>
        </w:tc>
        <w:tc>
          <w:tcPr>
            <w:tcW w:w="1700" w:type="dxa"/>
            <w:tcBorders>
              <w:top w:val="single" w:sz="4" w:space="0" w:color="auto"/>
              <w:left w:val="single" w:sz="4" w:space="0" w:color="auto"/>
              <w:bottom w:val="single" w:sz="4" w:space="0" w:color="auto"/>
              <w:right w:val="single" w:sz="4" w:space="0" w:color="auto"/>
            </w:tcBorders>
          </w:tcPr>
          <w:p w:rsidR="005B415B" w:rsidRPr="00D50E91" w:rsidRDefault="005B415B" w:rsidP="002D39B6">
            <w:pPr>
              <w:autoSpaceDE w:val="0"/>
              <w:autoSpaceDN w:val="0"/>
              <w:adjustRightInd w:val="0"/>
              <w:ind w:left="56" w:right="56"/>
              <w:jc w:val="center"/>
              <w:rPr>
                <w:sz w:val="20"/>
                <w:szCs w:val="20"/>
              </w:rPr>
            </w:pPr>
            <w:r w:rsidRPr="00D50E91">
              <w:rPr>
                <w:sz w:val="20"/>
                <w:szCs w:val="20"/>
              </w:rPr>
              <w:t xml:space="preserve"> </w:t>
            </w:r>
            <w:r w:rsidR="002D39B6" w:rsidRPr="00D50E91">
              <w:rPr>
                <w:sz w:val="20"/>
                <w:szCs w:val="20"/>
              </w:rPr>
              <w:t>a</w:t>
            </w:r>
            <w:r w:rsidRPr="00D50E91">
              <w:rPr>
                <w:sz w:val="20"/>
                <w:szCs w:val="20"/>
              </w:rPr>
              <w:t>z időszakos felülvizsgálattal egyidejűleg</w:t>
            </w:r>
          </w:p>
        </w:tc>
        <w:tc>
          <w:tcPr>
            <w:tcW w:w="1418"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tűzvédelmi üzemeltetési napló</w:t>
            </w:r>
          </w:p>
        </w:tc>
      </w:tr>
      <w:tr w:rsidR="005B415B" w:rsidRPr="00D50E91" w:rsidTr="002D39B6">
        <w:tc>
          <w:tcPr>
            <w:tcW w:w="566"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20</w:t>
            </w:r>
          </w:p>
        </w:tc>
        <w:tc>
          <w:tcPr>
            <w:tcW w:w="1700" w:type="dxa"/>
            <w:tcBorders>
              <w:top w:val="nil"/>
              <w:left w:val="single" w:sz="4" w:space="0" w:color="auto"/>
              <w:bottom w:val="nil"/>
              <w:right w:val="single" w:sz="4" w:space="0" w:color="auto"/>
            </w:tcBorders>
          </w:tcPr>
          <w:p w:rsidR="005B415B" w:rsidRPr="00D50E91" w:rsidRDefault="005B415B" w:rsidP="00C65880">
            <w:pPr>
              <w:autoSpaceDE w:val="0"/>
              <w:autoSpaceDN w:val="0"/>
              <w:adjustRightInd w:val="0"/>
              <w:rPr>
                <w:sz w:val="20"/>
                <w:szCs w:val="20"/>
              </w:rPr>
            </w:pPr>
            <w:r w:rsidRPr="00D50E91">
              <w:rPr>
                <w:sz w:val="20"/>
                <w:szCs w:val="20"/>
              </w:rPr>
              <w:t xml:space="preserve"> </w:t>
            </w:r>
          </w:p>
        </w:tc>
        <w:tc>
          <w:tcPr>
            <w:tcW w:w="170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rPr>
                <w:sz w:val="20"/>
                <w:szCs w:val="20"/>
              </w:rPr>
            </w:pPr>
            <w:r w:rsidRPr="00D50E91">
              <w:rPr>
                <w:sz w:val="20"/>
                <w:szCs w:val="20"/>
              </w:rPr>
              <w:t xml:space="preserve"> füstgátló nyílászáró</w:t>
            </w:r>
          </w:p>
        </w:tc>
        <w:tc>
          <w:tcPr>
            <w:tcW w:w="1136" w:type="dxa"/>
            <w:gridSpan w:val="2"/>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3 hónap</w:t>
            </w:r>
            <w:r w:rsidRPr="00D50E91">
              <w:rPr>
                <w:sz w:val="20"/>
                <w:szCs w:val="20"/>
              </w:rPr>
              <w:br/>
              <w:t>(+ 1 hét)</w:t>
            </w:r>
          </w:p>
        </w:tc>
        <w:tc>
          <w:tcPr>
            <w:tcW w:w="1267"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tűzvédelmi üzemeltetési napló</w:t>
            </w:r>
          </w:p>
        </w:tc>
        <w:tc>
          <w:tcPr>
            <w:tcW w:w="169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6 hónap (+ 1 hét)</w:t>
            </w:r>
          </w:p>
        </w:tc>
        <w:tc>
          <w:tcPr>
            <w:tcW w:w="1429"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tűzvédelmi üzemeltetési napló</w:t>
            </w:r>
          </w:p>
        </w:tc>
        <w:tc>
          <w:tcPr>
            <w:tcW w:w="1700" w:type="dxa"/>
            <w:tcBorders>
              <w:top w:val="single" w:sz="4" w:space="0" w:color="auto"/>
              <w:left w:val="single" w:sz="4" w:space="0" w:color="auto"/>
              <w:bottom w:val="single" w:sz="4" w:space="0" w:color="auto"/>
              <w:right w:val="single" w:sz="4" w:space="0" w:color="auto"/>
            </w:tcBorders>
          </w:tcPr>
          <w:p w:rsidR="005B415B" w:rsidRPr="00D50E91" w:rsidRDefault="005B415B" w:rsidP="002D39B6">
            <w:pPr>
              <w:autoSpaceDE w:val="0"/>
              <w:autoSpaceDN w:val="0"/>
              <w:adjustRightInd w:val="0"/>
              <w:ind w:left="56" w:right="56"/>
              <w:jc w:val="center"/>
              <w:rPr>
                <w:sz w:val="20"/>
                <w:szCs w:val="20"/>
              </w:rPr>
            </w:pPr>
            <w:r w:rsidRPr="00D50E91">
              <w:rPr>
                <w:sz w:val="20"/>
                <w:szCs w:val="20"/>
              </w:rPr>
              <w:t xml:space="preserve"> </w:t>
            </w:r>
            <w:r w:rsidR="002D39B6" w:rsidRPr="00D50E91">
              <w:rPr>
                <w:sz w:val="20"/>
                <w:szCs w:val="20"/>
              </w:rPr>
              <w:t>a</w:t>
            </w:r>
            <w:r w:rsidRPr="00D50E91">
              <w:rPr>
                <w:sz w:val="20"/>
                <w:szCs w:val="20"/>
              </w:rPr>
              <w:t>z időszakos felülvizsgálattal egyidejűleg</w:t>
            </w:r>
          </w:p>
        </w:tc>
        <w:tc>
          <w:tcPr>
            <w:tcW w:w="1418"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tűzvédelmi üzemeltetési napló</w:t>
            </w:r>
          </w:p>
        </w:tc>
      </w:tr>
      <w:tr w:rsidR="005B415B" w:rsidRPr="00D50E91" w:rsidTr="002D39B6">
        <w:tc>
          <w:tcPr>
            <w:tcW w:w="566"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21</w:t>
            </w:r>
          </w:p>
        </w:tc>
        <w:tc>
          <w:tcPr>
            <w:tcW w:w="1700" w:type="dxa"/>
            <w:tcBorders>
              <w:top w:val="nil"/>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rPr>
                <w:sz w:val="20"/>
                <w:szCs w:val="20"/>
              </w:rPr>
            </w:pPr>
            <w:r w:rsidRPr="00D50E91">
              <w:rPr>
                <w:sz w:val="20"/>
                <w:szCs w:val="20"/>
              </w:rPr>
              <w:t xml:space="preserve"> </w:t>
            </w:r>
          </w:p>
        </w:tc>
        <w:tc>
          <w:tcPr>
            <w:tcW w:w="170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rPr>
                <w:sz w:val="20"/>
                <w:szCs w:val="20"/>
              </w:rPr>
            </w:pPr>
            <w:r w:rsidRPr="00D50E91">
              <w:rPr>
                <w:sz w:val="20"/>
                <w:szCs w:val="20"/>
              </w:rPr>
              <w:t xml:space="preserve"> mobil füstkötény</w:t>
            </w:r>
          </w:p>
        </w:tc>
        <w:tc>
          <w:tcPr>
            <w:tcW w:w="1136" w:type="dxa"/>
            <w:gridSpan w:val="2"/>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3 hónap</w:t>
            </w:r>
            <w:r w:rsidRPr="00D50E91">
              <w:rPr>
                <w:sz w:val="20"/>
                <w:szCs w:val="20"/>
              </w:rPr>
              <w:br/>
              <w:t>(+ 1 hét)</w:t>
            </w:r>
          </w:p>
        </w:tc>
        <w:tc>
          <w:tcPr>
            <w:tcW w:w="1267"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tűzvédelmi üzemeltetési napló</w:t>
            </w:r>
          </w:p>
        </w:tc>
        <w:tc>
          <w:tcPr>
            <w:tcW w:w="169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6 hónap (+ 1 hét)</w:t>
            </w:r>
          </w:p>
        </w:tc>
        <w:tc>
          <w:tcPr>
            <w:tcW w:w="1429"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tűzvédelmi üzemeltetési napló</w:t>
            </w:r>
          </w:p>
        </w:tc>
        <w:tc>
          <w:tcPr>
            <w:tcW w:w="1700" w:type="dxa"/>
            <w:tcBorders>
              <w:top w:val="single" w:sz="4" w:space="0" w:color="auto"/>
              <w:left w:val="single" w:sz="4" w:space="0" w:color="auto"/>
              <w:bottom w:val="single" w:sz="4" w:space="0" w:color="auto"/>
              <w:right w:val="single" w:sz="4" w:space="0" w:color="auto"/>
            </w:tcBorders>
          </w:tcPr>
          <w:p w:rsidR="005B415B" w:rsidRPr="00D50E91" w:rsidRDefault="005B415B" w:rsidP="002D39B6">
            <w:pPr>
              <w:autoSpaceDE w:val="0"/>
              <w:autoSpaceDN w:val="0"/>
              <w:adjustRightInd w:val="0"/>
              <w:ind w:left="56" w:right="56"/>
              <w:jc w:val="center"/>
              <w:rPr>
                <w:sz w:val="20"/>
                <w:szCs w:val="20"/>
              </w:rPr>
            </w:pPr>
            <w:r w:rsidRPr="00D50E91">
              <w:rPr>
                <w:sz w:val="20"/>
                <w:szCs w:val="20"/>
              </w:rPr>
              <w:t xml:space="preserve"> </w:t>
            </w:r>
            <w:r w:rsidR="002D39B6" w:rsidRPr="00D50E91">
              <w:rPr>
                <w:sz w:val="20"/>
                <w:szCs w:val="20"/>
              </w:rPr>
              <w:t>a</w:t>
            </w:r>
            <w:r w:rsidRPr="00D50E91">
              <w:rPr>
                <w:sz w:val="20"/>
                <w:szCs w:val="20"/>
              </w:rPr>
              <w:t>z időszakos felülvizsgálattal egyidejűleg</w:t>
            </w:r>
          </w:p>
        </w:tc>
        <w:tc>
          <w:tcPr>
            <w:tcW w:w="1418"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tűzvédelmi üzemeltetési napló</w:t>
            </w:r>
          </w:p>
        </w:tc>
      </w:tr>
      <w:tr w:rsidR="005B415B" w:rsidRPr="00D50E91" w:rsidTr="002D39B6">
        <w:tc>
          <w:tcPr>
            <w:tcW w:w="566"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22</w:t>
            </w:r>
          </w:p>
        </w:tc>
        <w:tc>
          <w:tcPr>
            <w:tcW w:w="3400" w:type="dxa"/>
            <w:gridSpan w:val="2"/>
            <w:tcBorders>
              <w:top w:val="single" w:sz="4" w:space="0" w:color="auto"/>
              <w:left w:val="single" w:sz="4" w:space="0" w:color="auto"/>
              <w:bottom w:val="single" w:sz="4" w:space="0" w:color="auto"/>
              <w:right w:val="single" w:sz="4" w:space="0" w:color="auto"/>
            </w:tcBorders>
          </w:tcPr>
          <w:p w:rsidR="005B415B" w:rsidRPr="00D50E91" w:rsidRDefault="002D39B6" w:rsidP="00C65880">
            <w:pPr>
              <w:autoSpaceDE w:val="0"/>
              <w:autoSpaceDN w:val="0"/>
              <w:adjustRightInd w:val="0"/>
              <w:ind w:left="56" w:right="56"/>
              <w:rPr>
                <w:sz w:val="20"/>
                <w:szCs w:val="20"/>
              </w:rPr>
            </w:pPr>
            <w:r w:rsidRPr="00D50E91">
              <w:rPr>
                <w:sz w:val="20"/>
                <w:szCs w:val="20"/>
              </w:rPr>
              <w:t xml:space="preserve"> B</w:t>
            </w:r>
            <w:r w:rsidR="005B415B" w:rsidRPr="00D50E91">
              <w:rPr>
                <w:sz w:val="20"/>
                <w:szCs w:val="20"/>
              </w:rPr>
              <w:t>iztonsági tápforrásnak minősülő</w:t>
            </w:r>
            <w:r w:rsidR="005B415B" w:rsidRPr="00D50E91">
              <w:rPr>
                <w:sz w:val="20"/>
                <w:szCs w:val="20"/>
              </w:rPr>
              <w:br/>
              <w:t>dízelaggregátor</w:t>
            </w:r>
          </w:p>
        </w:tc>
        <w:tc>
          <w:tcPr>
            <w:tcW w:w="1136" w:type="dxa"/>
            <w:gridSpan w:val="2"/>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1 hónap</w:t>
            </w:r>
            <w:r w:rsidRPr="00D50E91">
              <w:rPr>
                <w:sz w:val="20"/>
                <w:szCs w:val="20"/>
              </w:rPr>
              <w:br/>
              <w:t>(+ 3 nap)</w:t>
            </w:r>
          </w:p>
        </w:tc>
        <w:tc>
          <w:tcPr>
            <w:tcW w:w="1267"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tűzvédelmi üzemeltetési napló</w:t>
            </w:r>
          </w:p>
        </w:tc>
        <w:tc>
          <w:tcPr>
            <w:tcW w:w="169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12 hónap (+ 1 hét)</w:t>
            </w:r>
          </w:p>
        </w:tc>
        <w:tc>
          <w:tcPr>
            <w:tcW w:w="1429"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tűzvédelmi üzemeltetési napló</w:t>
            </w:r>
          </w:p>
        </w:tc>
        <w:tc>
          <w:tcPr>
            <w:tcW w:w="1700" w:type="dxa"/>
            <w:tcBorders>
              <w:top w:val="single" w:sz="4" w:space="0" w:color="auto"/>
              <w:left w:val="single" w:sz="4" w:space="0" w:color="auto"/>
              <w:bottom w:val="single" w:sz="4" w:space="0" w:color="auto"/>
              <w:right w:val="single" w:sz="4" w:space="0" w:color="auto"/>
            </w:tcBorders>
          </w:tcPr>
          <w:p w:rsidR="005B415B" w:rsidRPr="00D50E91" w:rsidRDefault="005B415B" w:rsidP="002D39B6">
            <w:pPr>
              <w:autoSpaceDE w:val="0"/>
              <w:autoSpaceDN w:val="0"/>
              <w:adjustRightInd w:val="0"/>
              <w:ind w:left="56" w:right="56"/>
              <w:jc w:val="center"/>
              <w:rPr>
                <w:sz w:val="20"/>
                <w:szCs w:val="20"/>
              </w:rPr>
            </w:pPr>
            <w:r w:rsidRPr="00D50E91">
              <w:rPr>
                <w:sz w:val="20"/>
                <w:szCs w:val="20"/>
              </w:rPr>
              <w:t xml:space="preserve"> </w:t>
            </w:r>
            <w:r w:rsidR="002D39B6" w:rsidRPr="00D50E91">
              <w:rPr>
                <w:sz w:val="20"/>
                <w:szCs w:val="20"/>
              </w:rPr>
              <w:t>a</w:t>
            </w:r>
            <w:r w:rsidRPr="00D50E91">
              <w:rPr>
                <w:sz w:val="20"/>
                <w:szCs w:val="20"/>
              </w:rPr>
              <w:t>z időszakos felülvizsgálattal egyidejűleg</w:t>
            </w:r>
          </w:p>
        </w:tc>
        <w:tc>
          <w:tcPr>
            <w:tcW w:w="1418"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tűzvédelmi üzemeltetési napló</w:t>
            </w:r>
          </w:p>
        </w:tc>
      </w:tr>
      <w:tr w:rsidR="005B415B" w:rsidRPr="00D50E91" w:rsidTr="002D39B6">
        <w:tc>
          <w:tcPr>
            <w:tcW w:w="566"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23</w:t>
            </w:r>
          </w:p>
        </w:tc>
        <w:tc>
          <w:tcPr>
            <w:tcW w:w="3400" w:type="dxa"/>
            <w:gridSpan w:val="2"/>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rPr>
                <w:sz w:val="20"/>
                <w:szCs w:val="20"/>
              </w:rPr>
            </w:pPr>
            <w:r w:rsidRPr="00D50E91">
              <w:rPr>
                <w:sz w:val="20"/>
                <w:szCs w:val="20"/>
              </w:rPr>
              <w:t xml:space="preserve"> biztonsági tápforrásnak minősülő </w:t>
            </w:r>
            <w:r w:rsidRPr="00D50E91">
              <w:rPr>
                <w:sz w:val="20"/>
                <w:szCs w:val="20"/>
              </w:rPr>
              <w:lastRenderedPageBreak/>
              <w:t>akkumulátor, szünetmentes tápegység</w:t>
            </w:r>
          </w:p>
        </w:tc>
        <w:tc>
          <w:tcPr>
            <w:tcW w:w="1136" w:type="dxa"/>
            <w:gridSpan w:val="2"/>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lastRenderedPageBreak/>
              <w:t xml:space="preserve"> 1 hónap</w:t>
            </w:r>
            <w:r w:rsidRPr="00D50E91">
              <w:rPr>
                <w:sz w:val="20"/>
                <w:szCs w:val="20"/>
              </w:rPr>
              <w:br/>
            </w:r>
            <w:r w:rsidRPr="00D50E91">
              <w:rPr>
                <w:sz w:val="20"/>
                <w:szCs w:val="20"/>
              </w:rPr>
              <w:lastRenderedPageBreak/>
              <w:t>(+ 3 nap)</w:t>
            </w:r>
          </w:p>
        </w:tc>
        <w:tc>
          <w:tcPr>
            <w:tcW w:w="1267"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lastRenderedPageBreak/>
              <w:t xml:space="preserve"> tűzvédelmi </w:t>
            </w:r>
            <w:r w:rsidRPr="00D50E91">
              <w:rPr>
                <w:sz w:val="20"/>
                <w:szCs w:val="20"/>
              </w:rPr>
              <w:lastRenderedPageBreak/>
              <w:t>üzemeltetési napló</w:t>
            </w:r>
          </w:p>
        </w:tc>
        <w:tc>
          <w:tcPr>
            <w:tcW w:w="1690"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lastRenderedPageBreak/>
              <w:t xml:space="preserve"> 12 hónap (+ 1 hét)</w:t>
            </w:r>
          </w:p>
        </w:tc>
        <w:tc>
          <w:tcPr>
            <w:tcW w:w="1429"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t xml:space="preserve"> tűzvédelmi </w:t>
            </w:r>
            <w:r w:rsidRPr="00D50E91">
              <w:rPr>
                <w:sz w:val="20"/>
                <w:szCs w:val="20"/>
              </w:rPr>
              <w:lastRenderedPageBreak/>
              <w:t>üzemeltetési napló</w:t>
            </w:r>
          </w:p>
        </w:tc>
        <w:tc>
          <w:tcPr>
            <w:tcW w:w="1700" w:type="dxa"/>
            <w:tcBorders>
              <w:top w:val="single" w:sz="4" w:space="0" w:color="auto"/>
              <w:left w:val="single" w:sz="4" w:space="0" w:color="auto"/>
              <w:bottom w:val="single" w:sz="4" w:space="0" w:color="auto"/>
              <w:right w:val="single" w:sz="4" w:space="0" w:color="auto"/>
            </w:tcBorders>
          </w:tcPr>
          <w:p w:rsidR="005B415B" w:rsidRPr="00D50E91" w:rsidRDefault="005B415B" w:rsidP="002D39B6">
            <w:pPr>
              <w:autoSpaceDE w:val="0"/>
              <w:autoSpaceDN w:val="0"/>
              <w:adjustRightInd w:val="0"/>
              <w:ind w:left="56" w:right="56"/>
              <w:jc w:val="center"/>
              <w:rPr>
                <w:sz w:val="20"/>
                <w:szCs w:val="20"/>
              </w:rPr>
            </w:pPr>
            <w:r w:rsidRPr="00D50E91">
              <w:rPr>
                <w:sz w:val="20"/>
                <w:szCs w:val="20"/>
              </w:rPr>
              <w:lastRenderedPageBreak/>
              <w:t xml:space="preserve"> </w:t>
            </w:r>
            <w:r w:rsidR="002D39B6" w:rsidRPr="00D50E91">
              <w:rPr>
                <w:sz w:val="20"/>
                <w:szCs w:val="20"/>
              </w:rPr>
              <w:t>a</w:t>
            </w:r>
            <w:r w:rsidRPr="00D50E91">
              <w:rPr>
                <w:sz w:val="20"/>
                <w:szCs w:val="20"/>
              </w:rPr>
              <w:t xml:space="preserve">z időszakos </w:t>
            </w:r>
            <w:r w:rsidRPr="00D50E91">
              <w:rPr>
                <w:sz w:val="20"/>
                <w:szCs w:val="20"/>
              </w:rPr>
              <w:lastRenderedPageBreak/>
              <w:t>felülvizsgálattal egyidejűleg</w:t>
            </w:r>
          </w:p>
        </w:tc>
        <w:tc>
          <w:tcPr>
            <w:tcW w:w="1418" w:type="dxa"/>
            <w:tcBorders>
              <w:top w:val="single" w:sz="4" w:space="0" w:color="auto"/>
              <w:left w:val="single" w:sz="4" w:space="0" w:color="auto"/>
              <w:bottom w:val="single" w:sz="4" w:space="0" w:color="auto"/>
              <w:right w:val="single" w:sz="4" w:space="0" w:color="auto"/>
            </w:tcBorders>
          </w:tcPr>
          <w:p w:rsidR="005B415B" w:rsidRPr="00D50E91" w:rsidRDefault="005B415B" w:rsidP="00C65880">
            <w:pPr>
              <w:autoSpaceDE w:val="0"/>
              <w:autoSpaceDN w:val="0"/>
              <w:adjustRightInd w:val="0"/>
              <w:ind w:left="56" w:right="56"/>
              <w:jc w:val="center"/>
              <w:rPr>
                <w:sz w:val="20"/>
                <w:szCs w:val="20"/>
              </w:rPr>
            </w:pPr>
            <w:r w:rsidRPr="00D50E91">
              <w:rPr>
                <w:sz w:val="20"/>
                <w:szCs w:val="20"/>
              </w:rPr>
              <w:lastRenderedPageBreak/>
              <w:t xml:space="preserve"> tűzvédelmi </w:t>
            </w:r>
            <w:r w:rsidRPr="00D50E91">
              <w:rPr>
                <w:sz w:val="20"/>
                <w:szCs w:val="20"/>
              </w:rPr>
              <w:lastRenderedPageBreak/>
              <w:t>üzemeltetési napló</w:t>
            </w:r>
          </w:p>
        </w:tc>
      </w:tr>
      <w:tr w:rsidR="005B415B" w:rsidRPr="00D50E91" w:rsidTr="002D39B6">
        <w:tc>
          <w:tcPr>
            <w:tcW w:w="12606" w:type="dxa"/>
            <w:gridSpan w:val="10"/>
            <w:tcBorders>
              <w:top w:val="single" w:sz="4" w:space="0" w:color="auto"/>
              <w:left w:val="nil"/>
              <w:bottom w:val="nil"/>
              <w:right w:val="nil"/>
            </w:tcBorders>
          </w:tcPr>
          <w:p w:rsidR="005B415B" w:rsidRPr="00D50E91" w:rsidRDefault="005B415B" w:rsidP="00D2182D">
            <w:pPr>
              <w:tabs>
                <w:tab w:val="left" w:pos="977"/>
                <w:tab w:val="center" w:pos="6801"/>
              </w:tabs>
              <w:autoSpaceDE w:val="0"/>
              <w:autoSpaceDN w:val="0"/>
              <w:adjustRightInd w:val="0"/>
              <w:ind w:left="56" w:right="56"/>
              <w:rPr>
                <w:sz w:val="20"/>
                <w:szCs w:val="20"/>
              </w:rPr>
            </w:pPr>
            <w:r w:rsidRPr="00D50E91">
              <w:rPr>
                <w:sz w:val="20"/>
                <w:szCs w:val="20"/>
              </w:rPr>
              <w:lastRenderedPageBreak/>
              <w:t xml:space="preserve"> </w:t>
            </w:r>
            <w:r w:rsidRPr="00D50E91">
              <w:rPr>
                <w:i/>
                <w:iCs/>
                <w:sz w:val="20"/>
                <w:szCs w:val="20"/>
                <w:vertAlign w:val="superscript"/>
              </w:rPr>
              <w:t>1)</w:t>
            </w:r>
            <w:r w:rsidRPr="00D50E91">
              <w:rPr>
                <w:i/>
                <w:iCs/>
                <w:sz w:val="20"/>
                <w:szCs w:val="20"/>
              </w:rPr>
              <w:t xml:space="preserve"> </w:t>
            </w:r>
            <w:r w:rsidRPr="00D50E91">
              <w:rPr>
                <w:sz w:val="20"/>
                <w:szCs w:val="20"/>
              </w:rPr>
              <w:t>Az MSZ 1040 szabványsorozat alapján gyártott tűzoltó készülék alapkarbantartása (szén</w:t>
            </w:r>
            <w:r w:rsidR="003528A8">
              <w:rPr>
                <w:sz w:val="20"/>
                <w:szCs w:val="20"/>
              </w:rPr>
              <w:t>-</w:t>
            </w:r>
            <w:r w:rsidRPr="00D50E91">
              <w:rPr>
                <w:sz w:val="20"/>
                <w:szCs w:val="20"/>
              </w:rPr>
              <w:t>dioxiddal oltó kivételével)</w:t>
            </w:r>
          </w:p>
        </w:tc>
      </w:tr>
      <w:tr w:rsidR="005B415B" w:rsidRPr="00D50E91" w:rsidTr="002D39B6">
        <w:tc>
          <w:tcPr>
            <w:tcW w:w="12606" w:type="dxa"/>
            <w:gridSpan w:val="10"/>
            <w:tcBorders>
              <w:top w:val="nil"/>
              <w:left w:val="nil"/>
              <w:bottom w:val="nil"/>
              <w:right w:val="nil"/>
            </w:tcBorders>
          </w:tcPr>
          <w:p w:rsidR="005B415B" w:rsidRPr="00D50E91" w:rsidRDefault="005B415B" w:rsidP="00D2182D">
            <w:pPr>
              <w:autoSpaceDE w:val="0"/>
              <w:autoSpaceDN w:val="0"/>
              <w:adjustRightInd w:val="0"/>
              <w:ind w:left="56" w:right="56"/>
              <w:rPr>
                <w:sz w:val="20"/>
                <w:szCs w:val="20"/>
              </w:rPr>
            </w:pPr>
            <w:r w:rsidRPr="00D50E91">
              <w:rPr>
                <w:sz w:val="20"/>
                <w:szCs w:val="20"/>
              </w:rPr>
              <w:t xml:space="preserve"> </w:t>
            </w:r>
            <w:r w:rsidRPr="00D50E91">
              <w:rPr>
                <w:i/>
                <w:iCs/>
                <w:sz w:val="20"/>
                <w:szCs w:val="20"/>
                <w:vertAlign w:val="superscript"/>
              </w:rPr>
              <w:t>2)</w:t>
            </w:r>
            <w:r w:rsidRPr="00D50E91">
              <w:rPr>
                <w:i/>
                <w:iCs/>
                <w:sz w:val="20"/>
                <w:szCs w:val="20"/>
              </w:rPr>
              <w:t xml:space="preserve"> Az MSZ EN 3 </w:t>
            </w:r>
            <w:r w:rsidRPr="00D50E91">
              <w:rPr>
                <w:sz w:val="20"/>
                <w:szCs w:val="20"/>
              </w:rPr>
              <w:t>szabványsorozat</w:t>
            </w:r>
            <w:r w:rsidRPr="00D50E91">
              <w:rPr>
                <w:i/>
                <w:iCs/>
                <w:sz w:val="20"/>
                <w:szCs w:val="20"/>
              </w:rPr>
              <w:t>, MSZ EN 1866 szabvány</w:t>
            </w:r>
            <w:r w:rsidRPr="00D50E91">
              <w:rPr>
                <w:sz w:val="20"/>
                <w:szCs w:val="20"/>
              </w:rPr>
              <w:t>sorozat</w:t>
            </w:r>
            <w:r w:rsidRPr="00D50E91">
              <w:rPr>
                <w:i/>
                <w:iCs/>
                <w:sz w:val="20"/>
                <w:szCs w:val="20"/>
              </w:rPr>
              <w:t xml:space="preserve"> alapján gyártott tűzoltó készülékek és az </w:t>
            </w:r>
            <w:r w:rsidRPr="00D50E91">
              <w:rPr>
                <w:sz w:val="20"/>
                <w:szCs w:val="20"/>
              </w:rPr>
              <w:t>MSZ 1040 szabványsorozat alapján gyártott szén</w:t>
            </w:r>
            <w:r w:rsidR="003528A8">
              <w:rPr>
                <w:sz w:val="20"/>
                <w:szCs w:val="20"/>
              </w:rPr>
              <w:t>-</w:t>
            </w:r>
            <w:r w:rsidRPr="00D50E91">
              <w:rPr>
                <w:sz w:val="20"/>
                <w:szCs w:val="20"/>
              </w:rPr>
              <w:t>dioxiddal oltó tűzoltó készülék alapkarbantartása.</w:t>
            </w:r>
          </w:p>
        </w:tc>
      </w:tr>
    </w:tbl>
    <w:p w:rsidR="005B415B" w:rsidRPr="00D50E91" w:rsidRDefault="005B415B" w:rsidP="00595B18">
      <w:pPr>
        <w:jc w:val="both"/>
      </w:pPr>
    </w:p>
    <w:p w:rsidR="005B415B" w:rsidRPr="00D50E91" w:rsidRDefault="005B415B" w:rsidP="00595B18">
      <w:pPr>
        <w:jc w:val="both"/>
      </w:pPr>
    </w:p>
    <w:p w:rsidR="005B415B" w:rsidRPr="00D50E91" w:rsidRDefault="005B415B" w:rsidP="00595B18">
      <w:pPr>
        <w:jc w:val="both"/>
      </w:pPr>
    </w:p>
    <w:p w:rsidR="005B415B" w:rsidRPr="00D50E91" w:rsidRDefault="005B415B" w:rsidP="00595B18">
      <w:pPr>
        <w:jc w:val="both"/>
      </w:pPr>
    </w:p>
    <w:p w:rsidR="005B415B" w:rsidRPr="00D50E91" w:rsidRDefault="005B415B" w:rsidP="00595B18">
      <w:pPr>
        <w:jc w:val="both"/>
      </w:pPr>
    </w:p>
    <w:p w:rsidR="005B415B" w:rsidRPr="00D50E91" w:rsidRDefault="005B415B">
      <w:pPr>
        <w:spacing w:after="200" w:line="276" w:lineRule="auto"/>
        <w:sectPr w:rsidR="005B415B" w:rsidRPr="00D50E91" w:rsidSect="00B36D4C">
          <w:pgSz w:w="16838" w:h="11906" w:orient="landscape" w:code="9"/>
          <w:pgMar w:top="1080" w:right="961" w:bottom="1080" w:left="1134" w:header="419" w:footer="293" w:gutter="0"/>
          <w:cols w:space="708"/>
          <w:formProt w:val="0"/>
          <w:docGrid w:linePitch="360"/>
        </w:sectPr>
      </w:pPr>
    </w:p>
    <w:p w:rsidR="005B415B" w:rsidRPr="00D50E91" w:rsidRDefault="005B415B">
      <w:pPr>
        <w:spacing w:after="200" w:line="276" w:lineRule="auto"/>
      </w:pPr>
    </w:p>
    <w:p w:rsidR="005B415B" w:rsidRPr="00D50E91" w:rsidRDefault="005B415B" w:rsidP="00914E18">
      <w:pPr>
        <w:jc w:val="center"/>
        <w:rPr>
          <w:b/>
        </w:rPr>
      </w:pPr>
    </w:p>
    <w:p w:rsidR="005B415B" w:rsidRPr="00D50E91" w:rsidRDefault="005B415B" w:rsidP="00914E18">
      <w:pPr>
        <w:jc w:val="center"/>
      </w:pPr>
      <w:r w:rsidRPr="00D50E91">
        <w:rPr>
          <w:b/>
        </w:rPr>
        <w:t>Részletes indokolás</w:t>
      </w:r>
    </w:p>
    <w:p w:rsidR="005B415B" w:rsidRPr="00D50E91" w:rsidRDefault="005B415B" w:rsidP="00595B18">
      <w:pPr>
        <w:jc w:val="both"/>
      </w:pPr>
    </w:p>
    <w:p w:rsidR="0093536B" w:rsidRPr="00D50E91" w:rsidRDefault="0093536B" w:rsidP="0093536B">
      <w:pPr>
        <w:jc w:val="center"/>
        <w:rPr>
          <w:b/>
        </w:rPr>
      </w:pPr>
      <w:r w:rsidRPr="00D50E91">
        <w:rPr>
          <w:b/>
        </w:rPr>
        <w:t>1. §</w:t>
      </w:r>
      <w:r w:rsidR="003528A8">
        <w:rPr>
          <w:b/>
        </w:rPr>
        <w:t>-</w:t>
      </w:r>
      <w:r w:rsidRPr="00D50E91">
        <w:rPr>
          <w:b/>
        </w:rPr>
        <w:t>hoz</w:t>
      </w:r>
    </w:p>
    <w:p w:rsidR="0093536B" w:rsidRPr="00D50E91" w:rsidRDefault="0093536B" w:rsidP="0093536B">
      <w:pPr>
        <w:jc w:val="center"/>
        <w:rPr>
          <w:b/>
        </w:rPr>
      </w:pPr>
    </w:p>
    <w:p w:rsidR="0093536B" w:rsidRPr="00D50E91" w:rsidRDefault="0093536B" w:rsidP="0093536B">
      <w:pPr>
        <w:jc w:val="both"/>
      </w:pPr>
      <w:r w:rsidRPr="00D50E91">
        <w:t>A tömegtartózkodásra szolgáló helyiségekre a tűzvédelmi szabályozás évtizedek óta többletkövetelményeket állapít meg. Az utóbbi időben számos olyan épület létesült, aminek egy</w:t>
      </w:r>
      <w:r w:rsidR="003528A8">
        <w:t>-</w:t>
      </w:r>
      <w:r w:rsidRPr="00D50E91">
        <w:t>egy helyisége megfelel a tömegtartózkodásra szolgáló helyiség definíciójának, azonban nem alakul ki a „klasszikus”, pánikveszélyes létszámsűrűségű tömeg, amelyet tűzvédelmi, kiürítési szempontból szigorúbban indokolt szabályozni. Ilyen épületek elsősorban a nagyobb, több ezer m</w:t>
      </w:r>
      <w:r w:rsidRPr="00D50E91">
        <w:rPr>
          <w:vertAlign w:val="superscript"/>
        </w:rPr>
        <w:t>2</w:t>
      </w:r>
      <w:r w:rsidRPr="00D50E91">
        <w:t xml:space="preserve"> alapterületű gyártócsarnokok, amelyekben 300</w:t>
      </w:r>
      <w:r w:rsidR="003528A8">
        <w:t>-</w:t>
      </w:r>
      <w:r w:rsidRPr="00D50E91">
        <w:t>nál több személy tartózkodik egyidejűleg.</w:t>
      </w:r>
    </w:p>
    <w:p w:rsidR="0093536B" w:rsidRPr="00D50E91" w:rsidRDefault="0093536B" w:rsidP="0093536B">
      <w:pPr>
        <w:jc w:val="both"/>
      </w:pPr>
    </w:p>
    <w:p w:rsidR="0093536B" w:rsidRPr="00D50E91" w:rsidRDefault="0093536B" w:rsidP="0093536B">
      <w:pPr>
        <w:ind w:left="360"/>
        <w:jc w:val="center"/>
        <w:rPr>
          <w:b/>
        </w:rPr>
      </w:pPr>
      <w:r w:rsidRPr="00D50E91">
        <w:rPr>
          <w:b/>
        </w:rPr>
        <w:t>2</w:t>
      </w:r>
      <w:r w:rsidR="003528A8">
        <w:rPr>
          <w:b/>
        </w:rPr>
        <w:t>-</w:t>
      </w:r>
      <w:r w:rsidRPr="00D50E91">
        <w:rPr>
          <w:b/>
        </w:rPr>
        <w:t>3. §</w:t>
      </w:r>
      <w:r w:rsidR="003528A8">
        <w:rPr>
          <w:b/>
        </w:rPr>
        <w:t>-</w:t>
      </w:r>
      <w:r w:rsidRPr="00D50E91">
        <w:rPr>
          <w:b/>
        </w:rPr>
        <w:t>hoz</w:t>
      </w:r>
    </w:p>
    <w:p w:rsidR="0093536B" w:rsidRPr="00D50E91" w:rsidRDefault="0093536B" w:rsidP="0093536B">
      <w:pPr>
        <w:pStyle w:val="Listaszerbekezds"/>
      </w:pPr>
    </w:p>
    <w:p w:rsidR="0093536B" w:rsidRPr="00D50E91" w:rsidRDefault="0093536B" w:rsidP="0093536B">
      <w:pPr>
        <w:jc w:val="both"/>
      </w:pPr>
      <w:r w:rsidRPr="00D50E91">
        <w:t>Az értelmező rendelkezések pontosításának indoka, hogy a jogalkalmazás során a definíciók és a normaszövegben szereplő részek koherensen illeszkedjen egymáshoz. Indokolttá vált olyan új definíciók bevezetése is, melyek kapcsán az OTSZ jelenleg is tartalmaz követelményeket, azonban a fogalmak hiánya adott esetben nehezíti az érintett műszaki megoldás pontos behatárolását.</w:t>
      </w:r>
    </w:p>
    <w:p w:rsidR="0093536B" w:rsidRPr="00D50E91" w:rsidRDefault="0093536B" w:rsidP="0093536B">
      <w:pPr>
        <w:jc w:val="both"/>
      </w:pPr>
    </w:p>
    <w:p w:rsidR="0093536B" w:rsidRPr="00D50E91" w:rsidRDefault="0093536B" w:rsidP="0093536B">
      <w:pPr>
        <w:jc w:val="center"/>
      </w:pPr>
      <w:r w:rsidRPr="00D50E91">
        <w:rPr>
          <w:b/>
        </w:rPr>
        <w:t>4. §</w:t>
      </w:r>
      <w:r w:rsidR="003528A8">
        <w:rPr>
          <w:b/>
        </w:rPr>
        <w:t>-</w:t>
      </w:r>
      <w:r w:rsidRPr="00D50E91">
        <w:rPr>
          <w:b/>
        </w:rPr>
        <w:t>hoz</w:t>
      </w:r>
    </w:p>
    <w:p w:rsidR="0093536B" w:rsidRPr="00D50E91" w:rsidRDefault="0093536B" w:rsidP="0093536B">
      <w:pPr>
        <w:jc w:val="center"/>
      </w:pPr>
    </w:p>
    <w:p w:rsidR="0093536B" w:rsidRPr="00D50E91" w:rsidRDefault="0093536B" w:rsidP="0093536B">
      <w:pPr>
        <w:jc w:val="both"/>
      </w:pPr>
      <w:r w:rsidRPr="00D50E91">
        <w:t>Az anyagok és keverékek veszélyességi osztályba sorolásáról szóló uniós rendelet szerinti osztályok és a hazai tűzveszélyességi osztályba sorolás összehangolása indokol egy átfogó jellegű módosítást. A módosítás a tűzveszélyességi osztályokhoz hozzárendeli az uniós veszélyességi osztályokat, ezenkívül kezeli a CLP hatálya alá nem tartozó anyagokat is. A tűzveszélyességi osztályok jelenlegi elnevezésének módosítását az teszi szükségessé, hogy egyértelműen el lehessen határolni a CLP szerinti osztályokat és a tűzveszélyességi osztályokat. A CLP is tartalmaz tűzveszélyes anyagkategóriákat (tűzveszélyes folyadék, aeroszol, stb.), emiatt egészül ki a tűzveszélyes tűzveszélyességi osztály „mérsékelten” előtaggal. A jelenleg robbanásveszélyesnek nevezett osztályba olyan CLP szerinti anyagok is bekerülnek, amelyek nem robbanásveszélyesek, hanem fokozottan tűzveszélyesek, emiatt történik meg az elnevezés kiegészítése.</w:t>
      </w:r>
    </w:p>
    <w:p w:rsidR="0093536B" w:rsidRPr="00D50E91" w:rsidRDefault="0093536B" w:rsidP="0093536B">
      <w:pPr>
        <w:jc w:val="both"/>
      </w:pPr>
    </w:p>
    <w:p w:rsidR="0093536B" w:rsidRPr="00D50E91" w:rsidRDefault="0093536B" w:rsidP="0093536B">
      <w:pPr>
        <w:jc w:val="both"/>
      </w:pPr>
    </w:p>
    <w:p w:rsidR="0093536B" w:rsidRPr="00D50E91" w:rsidRDefault="0093536B" w:rsidP="0093536B">
      <w:pPr>
        <w:jc w:val="center"/>
      </w:pPr>
      <w:r w:rsidRPr="00D50E91">
        <w:rPr>
          <w:b/>
        </w:rPr>
        <w:t>5</w:t>
      </w:r>
      <w:r w:rsidR="003528A8">
        <w:rPr>
          <w:b/>
        </w:rPr>
        <w:t>-</w:t>
      </w:r>
      <w:r w:rsidRPr="00D50E91">
        <w:rPr>
          <w:b/>
        </w:rPr>
        <w:t>7. §</w:t>
      </w:r>
      <w:r w:rsidR="003528A8">
        <w:rPr>
          <w:b/>
        </w:rPr>
        <w:t>-</w:t>
      </w:r>
      <w:r w:rsidRPr="00D50E91">
        <w:rPr>
          <w:b/>
        </w:rPr>
        <w:t>hoz</w:t>
      </w:r>
    </w:p>
    <w:p w:rsidR="0093536B" w:rsidRPr="00D50E91" w:rsidRDefault="0093536B" w:rsidP="0093536B">
      <w:pPr>
        <w:jc w:val="center"/>
      </w:pPr>
    </w:p>
    <w:p w:rsidR="0093536B" w:rsidRPr="00D50E91" w:rsidRDefault="0093536B" w:rsidP="0093536B">
      <w:pPr>
        <w:jc w:val="both"/>
      </w:pPr>
      <w:r w:rsidRPr="00D50E91">
        <w:t>Az új OTSZ bevezetésével új alapokra helyeződött a tűzvédelem megközelítése. A valós kockázatokon alapuló tűzvédelmi besorolások a gyakorlatban jól működnek, azonban a tapasztalatok alapján bizonyos esetekben pontosításra szorulnak. A követelmények egy részét indokolt TvMI</w:t>
      </w:r>
      <w:r w:rsidR="003528A8">
        <w:t>-</w:t>
      </w:r>
      <w:r w:rsidRPr="00D50E91">
        <w:t>ben szerepeltetni annak érdekében, hogy a tervezési feladatok során nagyobb mozgástér á</w:t>
      </w:r>
      <w:r w:rsidR="0019737C" w:rsidRPr="00D50E91">
        <w:t>l</w:t>
      </w:r>
      <w:r w:rsidRPr="00D50E91">
        <w:t>ljon rendelkezésre, és a tervezési feladatok során az egyedi eltérések jobban figyelembe vehetőek legyenek.</w:t>
      </w:r>
    </w:p>
    <w:p w:rsidR="0093536B" w:rsidRPr="00D50E91" w:rsidRDefault="0093536B" w:rsidP="0093536B">
      <w:pPr>
        <w:jc w:val="both"/>
      </w:pPr>
    </w:p>
    <w:p w:rsidR="0093536B" w:rsidRPr="00D50E91" w:rsidRDefault="0093536B" w:rsidP="0093536B">
      <w:pPr>
        <w:jc w:val="center"/>
      </w:pPr>
      <w:r w:rsidRPr="00D50E91">
        <w:rPr>
          <w:b/>
        </w:rPr>
        <w:t>8</w:t>
      </w:r>
      <w:r w:rsidR="003528A8">
        <w:rPr>
          <w:b/>
        </w:rPr>
        <w:t>-</w:t>
      </w:r>
      <w:r w:rsidRPr="00D50E91">
        <w:rPr>
          <w:b/>
        </w:rPr>
        <w:t>9. §</w:t>
      </w:r>
      <w:r w:rsidR="003528A8">
        <w:rPr>
          <w:b/>
        </w:rPr>
        <w:t>-</w:t>
      </w:r>
      <w:r w:rsidRPr="00D50E91">
        <w:rPr>
          <w:b/>
        </w:rPr>
        <w:t>hoz</w:t>
      </w:r>
    </w:p>
    <w:p w:rsidR="0093536B" w:rsidRPr="00D50E91" w:rsidRDefault="0093536B" w:rsidP="0093536B">
      <w:pPr>
        <w:jc w:val="both"/>
      </w:pPr>
    </w:p>
    <w:p w:rsidR="0093536B" w:rsidRPr="00D50E91" w:rsidRDefault="0093536B" w:rsidP="0093536B">
      <w:pPr>
        <w:autoSpaceDE w:val="0"/>
        <w:autoSpaceDN w:val="0"/>
        <w:adjustRightInd w:val="0"/>
        <w:jc w:val="both"/>
        <w:rPr>
          <w:strike/>
        </w:rPr>
      </w:pPr>
      <w:r w:rsidRPr="00D50E91">
        <w:t xml:space="preserve">Az F (azaz a leggyengébb) tűzvédelmi osztályba akkor került egy építőanyag, építési termék, ha nem teljesítette az E tűzvédelmi osztály vizsgálati feltételeit, vagy ha nem vizsgálták meg a tűzvédelmi osztályát. Uniós előírás változása miatt már nem minősül automatikusan F tűzvédelmi osztályúnak az az anyag, amelynek a tűzvédelmi osztályát nem állapították meg – így indokolt, hogy a tűzvédelmi szempontból rendkívül kedvezőtlen tulajdonságokkal rendelkező termékek felhasználása csak az ésszerűség határai között történjen. </w:t>
      </w:r>
      <w:r w:rsidR="002F3806" w:rsidRPr="00D50E91">
        <w:t xml:space="preserve">Az eddigi gyakorlat egyértelmű megfogalmazását jelenti </w:t>
      </w:r>
      <w:r w:rsidR="002F3806" w:rsidRPr="00D50E91">
        <w:lastRenderedPageBreak/>
        <w:t>az a kiegészítés, amellyel megakadályozható, hogy több, érdemi tűzállósággal nem rendelkező épület egymás mellé telepítésével nagyméretű tűzszakasz és tűz esetén nagy kiterjedésű tűzfelület alakuljon ki.</w:t>
      </w:r>
    </w:p>
    <w:p w:rsidR="0093536B" w:rsidRPr="00D50E91" w:rsidRDefault="0093536B" w:rsidP="0093536B">
      <w:pPr>
        <w:autoSpaceDE w:val="0"/>
        <w:autoSpaceDN w:val="0"/>
        <w:adjustRightInd w:val="0"/>
        <w:jc w:val="both"/>
      </w:pPr>
    </w:p>
    <w:p w:rsidR="0093536B" w:rsidRPr="00D50E91" w:rsidRDefault="0093536B" w:rsidP="0093536B">
      <w:pPr>
        <w:autoSpaceDE w:val="0"/>
        <w:autoSpaceDN w:val="0"/>
        <w:adjustRightInd w:val="0"/>
        <w:jc w:val="center"/>
        <w:rPr>
          <w:b/>
        </w:rPr>
      </w:pPr>
      <w:r w:rsidRPr="00D50E91">
        <w:rPr>
          <w:b/>
        </w:rPr>
        <w:t>10. §</w:t>
      </w:r>
      <w:r w:rsidR="003528A8">
        <w:rPr>
          <w:b/>
        </w:rPr>
        <w:t>-</w:t>
      </w:r>
      <w:r w:rsidRPr="00D50E91">
        <w:rPr>
          <w:b/>
        </w:rPr>
        <w:t>hoz</w:t>
      </w:r>
    </w:p>
    <w:p w:rsidR="0093536B" w:rsidRPr="00D50E91" w:rsidRDefault="0093536B" w:rsidP="0093536B">
      <w:pPr>
        <w:autoSpaceDE w:val="0"/>
        <w:autoSpaceDN w:val="0"/>
        <w:adjustRightInd w:val="0"/>
        <w:jc w:val="center"/>
        <w:rPr>
          <w:b/>
        </w:rPr>
      </w:pPr>
    </w:p>
    <w:p w:rsidR="0093536B" w:rsidRPr="00D50E91" w:rsidRDefault="0093536B" w:rsidP="0093536B">
      <w:pPr>
        <w:autoSpaceDE w:val="0"/>
        <w:autoSpaceDN w:val="0"/>
        <w:adjustRightInd w:val="0"/>
        <w:jc w:val="both"/>
      </w:pPr>
      <w:r w:rsidRPr="00D50E91">
        <w:t>A módosítások a szerkezetek közötti statikai összefüggések figyelembe vételének fontosságát hangsúlyozzák. A kiegészítés lehetőséget teremt a faszerkezetek alkalmazására, az épületek egy meghatározott körében, abban az esetben is, ha egyébként az általános követelményeket ismertető 2. mell</w:t>
      </w:r>
      <w:r w:rsidR="0019737C" w:rsidRPr="00D50E91">
        <w:t>éklet</w:t>
      </w:r>
      <w:r w:rsidRPr="00D50E91">
        <w:t xml:space="preserve"> 1. táblázata szigorúbb tűzvédelmi osztály követelményt támasztana az adott szerkezettel szemben.</w:t>
      </w:r>
    </w:p>
    <w:p w:rsidR="0093536B" w:rsidRPr="00D50E91" w:rsidRDefault="0093536B" w:rsidP="0093536B">
      <w:pPr>
        <w:autoSpaceDE w:val="0"/>
        <w:autoSpaceDN w:val="0"/>
        <w:adjustRightInd w:val="0"/>
        <w:jc w:val="both"/>
      </w:pPr>
    </w:p>
    <w:p w:rsidR="0093536B" w:rsidRPr="00D50E91" w:rsidRDefault="0093536B" w:rsidP="0093536B">
      <w:pPr>
        <w:autoSpaceDE w:val="0"/>
        <w:autoSpaceDN w:val="0"/>
        <w:adjustRightInd w:val="0"/>
        <w:jc w:val="center"/>
      </w:pPr>
      <w:r w:rsidRPr="00D50E91">
        <w:rPr>
          <w:b/>
        </w:rPr>
        <w:t>11. §</w:t>
      </w:r>
      <w:r w:rsidR="003528A8">
        <w:rPr>
          <w:b/>
        </w:rPr>
        <w:t>-</w:t>
      </w:r>
      <w:r w:rsidRPr="00D50E91">
        <w:rPr>
          <w:b/>
        </w:rPr>
        <w:t>hoz</w:t>
      </w:r>
    </w:p>
    <w:p w:rsidR="0093536B" w:rsidRPr="00D50E91" w:rsidRDefault="0093536B" w:rsidP="0093536B">
      <w:pPr>
        <w:autoSpaceDE w:val="0"/>
        <w:autoSpaceDN w:val="0"/>
        <w:adjustRightInd w:val="0"/>
        <w:jc w:val="center"/>
      </w:pPr>
    </w:p>
    <w:p w:rsidR="0093536B" w:rsidRPr="00D50E91" w:rsidRDefault="0093536B" w:rsidP="0093536B">
      <w:pPr>
        <w:autoSpaceDE w:val="0"/>
        <w:autoSpaceDN w:val="0"/>
        <w:adjustRightInd w:val="0"/>
        <w:jc w:val="both"/>
      </w:pPr>
      <w:r w:rsidRPr="00D50E91">
        <w:t xml:space="preserve">Az új szabályozás ritka, de a gyakorlatban komoly értelmezési problémát kezel, amikor jellemzően szűk utcás, sikátoros elrendezésnél az épület telkével szomszédos telek közterület, a szomszédos épület azon túl, tehát nem a közvetlen szomszédos telken helyezkedik el, ugyanakkor a két épület közötti távolság nem éri el az előírt tűztávolságot. Ezt a helyzetet a tűzbiztonság érdekében szabályozni </w:t>
      </w:r>
      <w:r w:rsidR="00A7572F">
        <w:t>szükséges</w:t>
      </w:r>
      <w:r w:rsidRPr="00D50E91">
        <w:t xml:space="preserve">. </w:t>
      </w:r>
    </w:p>
    <w:p w:rsidR="0093536B" w:rsidRPr="00D50E91" w:rsidRDefault="0093536B" w:rsidP="0093536B">
      <w:pPr>
        <w:autoSpaceDE w:val="0"/>
        <w:autoSpaceDN w:val="0"/>
        <w:adjustRightInd w:val="0"/>
        <w:jc w:val="both"/>
      </w:pPr>
    </w:p>
    <w:p w:rsidR="0093536B" w:rsidRPr="00D50E91" w:rsidRDefault="0093536B" w:rsidP="0093536B">
      <w:pPr>
        <w:autoSpaceDE w:val="0"/>
        <w:autoSpaceDN w:val="0"/>
        <w:adjustRightInd w:val="0"/>
        <w:jc w:val="center"/>
        <w:rPr>
          <w:b/>
        </w:rPr>
      </w:pPr>
      <w:r w:rsidRPr="00D50E91">
        <w:rPr>
          <w:b/>
        </w:rPr>
        <w:t>12</w:t>
      </w:r>
      <w:r w:rsidR="003528A8">
        <w:rPr>
          <w:b/>
        </w:rPr>
        <w:t>-</w:t>
      </w:r>
      <w:r w:rsidRPr="00D50E91">
        <w:rPr>
          <w:b/>
        </w:rPr>
        <w:t>13. §</w:t>
      </w:r>
      <w:r w:rsidR="003528A8">
        <w:rPr>
          <w:b/>
        </w:rPr>
        <w:t>-</w:t>
      </w:r>
      <w:r w:rsidRPr="00D50E91">
        <w:rPr>
          <w:b/>
        </w:rPr>
        <w:t>hoz</w:t>
      </w:r>
    </w:p>
    <w:p w:rsidR="0093536B" w:rsidRPr="00D50E91" w:rsidRDefault="0093536B" w:rsidP="0093536B">
      <w:pPr>
        <w:autoSpaceDE w:val="0"/>
        <w:autoSpaceDN w:val="0"/>
        <w:adjustRightInd w:val="0"/>
        <w:jc w:val="center"/>
        <w:rPr>
          <w:b/>
        </w:rPr>
      </w:pPr>
    </w:p>
    <w:p w:rsidR="0093536B" w:rsidRPr="00D50E91" w:rsidRDefault="0093536B" w:rsidP="0093536B">
      <w:pPr>
        <w:autoSpaceDE w:val="0"/>
        <w:autoSpaceDN w:val="0"/>
        <w:adjustRightInd w:val="0"/>
        <w:jc w:val="both"/>
      </w:pPr>
      <w:r w:rsidRPr="00D50E91">
        <w:t>Az értelmezést elősegítő technikai jellegű pontosítások.</w:t>
      </w:r>
    </w:p>
    <w:p w:rsidR="0093536B" w:rsidRPr="00D50E91" w:rsidRDefault="0093536B" w:rsidP="0093536B">
      <w:pPr>
        <w:autoSpaceDE w:val="0"/>
        <w:autoSpaceDN w:val="0"/>
        <w:adjustRightInd w:val="0"/>
        <w:jc w:val="both"/>
      </w:pPr>
    </w:p>
    <w:p w:rsidR="0093536B" w:rsidRPr="00D50E91" w:rsidRDefault="0093536B" w:rsidP="0093536B">
      <w:pPr>
        <w:autoSpaceDE w:val="0"/>
        <w:autoSpaceDN w:val="0"/>
        <w:adjustRightInd w:val="0"/>
        <w:jc w:val="center"/>
        <w:rPr>
          <w:b/>
        </w:rPr>
      </w:pPr>
      <w:r w:rsidRPr="00D50E91">
        <w:rPr>
          <w:b/>
        </w:rPr>
        <w:t>14. §</w:t>
      </w:r>
      <w:r w:rsidR="003528A8">
        <w:rPr>
          <w:b/>
        </w:rPr>
        <w:t>-</w:t>
      </w:r>
      <w:r w:rsidRPr="00D50E91">
        <w:rPr>
          <w:b/>
        </w:rPr>
        <w:t>hoz</w:t>
      </w:r>
    </w:p>
    <w:p w:rsidR="0093536B" w:rsidRPr="00D50E91" w:rsidRDefault="0093536B" w:rsidP="0093536B">
      <w:pPr>
        <w:autoSpaceDE w:val="0"/>
        <w:autoSpaceDN w:val="0"/>
        <w:adjustRightInd w:val="0"/>
        <w:jc w:val="center"/>
      </w:pPr>
    </w:p>
    <w:p w:rsidR="0093536B" w:rsidRPr="00D50E91" w:rsidRDefault="0093536B" w:rsidP="0093536B">
      <w:pPr>
        <w:autoSpaceDE w:val="0"/>
        <w:autoSpaceDN w:val="0"/>
        <w:adjustRightInd w:val="0"/>
        <w:jc w:val="both"/>
      </w:pPr>
      <w:r w:rsidRPr="00D50E91">
        <w:t>A módosítás lehetőséget ad a tűzgátló válaszfalban üvegezett szerkezet, ill</w:t>
      </w:r>
      <w:r w:rsidR="002D6570">
        <w:t>etve</w:t>
      </w:r>
      <w:r w:rsidRPr="00D50E91">
        <w:t xml:space="preserve"> üvegfal beépítésére, figyelembe véve azt, hogy tűzállóság nélküli ajtó is beépíthető a válaszfalba. A felsorolt szerkezetek jelenleg kizárólag a hatóság külön engedélyével alkalmazhatóak.</w:t>
      </w:r>
    </w:p>
    <w:p w:rsidR="0093536B" w:rsidRPr="00D50E91" w:rsidRDefault="0093536B" w:rsidP="0093536B">
      <w:pPr>
        <w:autoSpaceDE w:val="0"/>
        <w:autoSpaceDN w:val="0"/>
        <w:adjustRightInd w:val="0"/>
        <w:jc w:val="both"/>
      </w:pPr>
    </w:p>
    <w:p w:rsidR="0093536B" w:rsidRPr="00D50E91" w:rsidRDefault="0093536B" w:rsidP="0093536B">
      <w:pPr>
        <w:autoSpaceDE w:val="0"/>
        <w:autoSpaceDN w:val="0"/>
        <w:adjustRightInd w:val="0"/>
        <w:jc w:val="center"/>
      </w:pPr>
      <w:r w:rsidRPr="00D50E91">
        <w:rPr>
          <w:b/>
        </w:rPr>
        <w:t>15</w:t>
      </w:r>
      <w:r w:rsidR="003528A8">
        <w:rPr>
          <w:b/>
        </w:rPr>
        <w:t>-</w:t>
      </w:r>
      <w:r w:rsidRPr="00D50E91">
        <w:rPr>
          <w:b/>
        </w:rPr>
        <w:t>18. §</w:t>
      </w:r>
      <w:r w:rsidR="003528A8">
        <w:rPr>
          <w:b/>
        </w:rPr>
        <w:t>-</w:t>
      </w:r>
      <w:r w:rsidRPr="00D50E91">
        <w:rPr>
          <w:b/>
        </w:rPr>
        <w:t>hoz</w:t>
      </w:r>
    </w:p>
    <w:p w:rsidR="0093536B" w:rsidRPr="00D50E91" w:rsidRDefault="0093536B" w:rsidP="0093536B">
      <w:pPr>
        <w:autoSpaceDE w:val="0"/>
        <w:autoSpaceDN w:val="0"/>
        <w:adjustRightInd w:val="0"/>
        <w:jc w:val="both"/>
      </w:pPr>
    </w:p>
    <w:p w:rsidR="0093536B" w:rsidRPr="00D50E91" w:rsidRDefault="0093536B" w:rsidP="0093536B">
      <w:pPr>
        <w:autoSpaceDE w:val="0"/>
        <w:autoSpaceDN w:val="0"/>
        <w:adjustRightInd w:val="0"/>
        <w:jc w:val="both"/>
      </w:pPr>
      <w:r w:rsidRPr="00D50E91">
        <w:t>Az értelmezést elősegítő technikai jellegű pontosítások. A módosítás olyan kialakítást emel a kivételek közé, amelynél a belső tűzterjedés várható gyorsasága miatt a külső tűzterjedésnek kisebb a jelentősége. Eddig ennél a kialakításnál elvárás volt a homlokzati tűzterjedés elleni védelem.</w:t>
      </w:r>
    </w:p>
    <w:p w:rsidR="0093536B" w:rsidRPr="00D50E91" w:rsidRDefault="0093536B" w:rsidP="0093536B">
      <w:pPr>
        <w:autoSpaceDE w:val="0"/>
        <w:autoSpaceDN w:val="0"/>
        <w:adjustRightInd w:val="0"/>
        <w:jc w:val="both"/>
      </w:pPr>
    </w:p>
    <w:p w:rsidR="0093536B" w:rsidRPr="00D50E91" w:rsidRDefault="0093536B" w:rsidP="0093536B">
      <w:pPr>
        <w:autoSpaceDE w:val="0"/>
        <w:autoSpaceDN w:val="0"/>
        <w:adjustRightInd w:val="0"/>
        <w:jc w:val="center"/>
      </w:pPr>
      <w:r w:rsidRPr="00D50E91">
        <w:rPr>
          <w:b/>
        </w:rPr>
        <w:t>19</w:t>
      </w:r>
      <w:r w:rsidR="003528A8">
        <w:rPr>
          <w:b/>
        </w:rPr>
        <w:t>-</w:t>
      </w:r>
      <w:r w:rsidRPr="00D50E91">
        <w:rPr>
          <w:b/>
        </w:rPr>
        <w:t>2</w:t>
      </w:r>
      <w:r w:rsidR="000470E7" w:rsidRPr="00D50E91">
        <w:rPr>
          <w:b/>
        </w:rPr>
        <w:t>1</w:t>
      </w:r>
      <w:r w:rsidRPr="00D50E91">
        <w:rPr>
          <w:b/>
        </w:rPr>
        <w:t>. §</w:t>
      </w:r>
      <w:r w:rsidR="003528A8">
        <w:rPr>
          <w:b/>
        </w:rPr>
        <w:t>-</w:t>
      </w:r>
      <w:r w:rsidRPr="00D50E91">
        <w:rPr>
          <w:b/>
        </w:rPr>
        <w:t>hoz</w:t>
      </w:r>
    </w:p>
    <w:p w:rsidR="0093536B" w:rsidRPr="00D50E91" w:rsidRDefault="0093536B" w:rsidP="0093536B">
      <w:pPr>
        <w:autoSpaceDE w:val="0"/>
        <w:autoSpaceDN w:val="0"/>
        <w:adjustRightInd w:val="0"/>
        <w:jc w:val="center"/>
      </w:pPr>
    </w:p>
    <w:p w:rsidR="0093536B" w:rsidRPr="00D50E91" w:rsidRDefault="0093536B" w:rsidP="0093536B">
      <w:pPr>
        <w:autoSpaceDE w:val="0"/>
        <w:autoSpaceDN w:val="0"/>
        <w:adjustRightInd w:val="0"/>
        <w:jc w:val="both"/>
      </w:pPr>
      <w:r w:rsidRPr="00D50E91">
        <w:t>A homlokzati tűzterjedési gát kiemelt fontosságát az elmúlt időszakban bekövetkezett tűzesetek bizonyították. A jelenlegi változás az élet és vagyonbiztonságot szolgálja, azzal a kitétellel, hogy a tűzvédelmi célú homlokzati sáv kialakításának megoldását nem határozza meg, azt a tűzterjedés elleni védelemről szóló TvMI fogja tartalmazni. A kiegészítés csökkenti az átvezetések helyén elvárt tömítettségi követelményeket azoknál a pozícióknál, amelyeknél a gyakorla</w:t>
      </w:r>
      <w:r w:rsidR="00FA5F44">
        <w:t>ti tapasztalatok alapján nincs</w:t>
      </w:r>
      <w:r w:rsidRPr="00D50E91">
        <w:t xml:space="preserve"> nagyobb jelentősége a tömítések tűzgátlásának.</w:t>
      </w:r>
    </w:p>
    <w:p w:rsidR="000470E7" w:rsidRPr="00D50E91" w:rsidRDefault="000470E7" w:rsidP="0093536B">
      <w:pPr>
        <w:autoSpaceDE w:val="0"/>
        <w:autoSpaceDN w:val="0"/>
        <w:adjustRightInd w:val="0"/>
        <w:jc w:val="both"/>
      </w:pPr>
    </w:p>
    <w:p w:rsidR="0093536B" w:rsidRPr="00D50E91" w:rsidRDefault="0093536B" w:rsidP="0093536B">
      <w:pPr>
        <w:autoSpaceDE w:val="0"/>
        <w:autoSpaceDN w:val="0"/>
        <w:adjustRightInd w:val="0"/>
        <w:jc w:val="center"/>
      </w:pPr>
      <w:r w:rsidRPr="00D50E91">
        <w:rPr>
          <w:b/>
        </w:rPr>
        <w:t>2</w:t>
      </w:r>
      <w:r w:rsidR="000470E7" w:rsidRPr="00D50E91">
        <w:rPr>
          <w:b/>
        </w:rPr>
        <w:t>2</w:t>
      </w:r>
      <w:r w:rsidRPr="00D50E91">
        <w:rPr>
          <w:b/>
        </w:rPr>
        <w:t>. §</w:t>
      </w:r>
      <w:r w:rsidR="003528A8">
        <w:rPr>
          <w:b/>
        </w:rPr>
        <w:t>-</w:t>
      </w:r>
      <w:r w:rsidRPr="00D50E91">
        <w:rPr>
          <w:b/>
        </w:rPr>
        <w:t>hoz</w:t>
      </w:r>
    </w:p>
    <w:p w:rsidR="0093536B" w:rsidRPr="00D50E91" w:rsidRDefault="0093536B" w:rsidP="0093536B">
      <w:pPr>
        <w:autoSpaceDE w:val="0"/>
        <w:autoSpaceDN w:val="0"/>
        <w:adjustRightInd w:val="0"/>
        <w:jc w:val="both"/>
      </w:pPr>
    </w:p>
    <w:p w:rsidR="0093536B" w:rsidRPr="00D50E91" w:rsidRDefault="0093536B" w:rsidP="0093536B">
      <w:pPr>
        <w:autoSpaceDE w:val="0"/>
        <w:autoSpaceDN w:val="0"/>
        <w:adjustRightInd w:val="0"/>
        <w:jc w:val="both"/>
      </w:pPr>
      <w:r w:rsidRPr="00D50E91">
        <w:t>A tűzfal gyengítését a szabályozás korlátozza, azonban a gépjármű közlekedés biztosítása érdekében előfordult, hogy a szükséges nyílásméret meghaladta a 10 %</w:t>
      </w:r>
      <w:r w:rsidR="003528A8">
        <w:t>-</w:t>
      </w:r>
      <w:r w:rsidRPr="00D50E91">
        <w:t>ot. Annak érdekében, hogy ez külön hatósági eljárás nélkül megvalósulhasson a szabályozás kiegészítése indokolt.</w:t>
      </w:r>
    </w:p>
    <w:p w:rsidR="0093536B" w:rsidRPr="00D50E91" w:rsidRDefault="0093536B" w:rsidP="0093536B">
      <w:pPr>
        <w:autoSpaceDE w:val="0"/>
        <w:autoSpaceDN w:val="0"/>
        <w:adjustRightInd w:val="0"/>
        <w:jc w:val="both"/>
      </w:pPr>
    </w:p>
    <w:p w:rsidR="0093536B" w:rsidRPr="00D50E91" w:rsidRDefault="0093536B" w:rsidP="0093536B">
      <w:pPr>
        <w:autoSpaceDE w:val="0"/>
        <w:autoSpaceDN w:val="0"/>
        <w:adjustRightInd w:val="0"/>
        <w:jc w:val="center"/>
        <w:rPr>
          <w:b/>
        </w:rPr>
      </w:pPr>
      <w:r w:rsidRPr="00D50E91">
        <w:rPr>
          <w:b/>
        </w:rPr>
        <w:t>2</w:t>
      </w:r>
      <w:r w:rsidR="000470E7" w:rsidRPr="00D50E91">
        <w:rPr>
          <w:b/>
        </w:rPr>
        <w:t>3</w:t>
      </w:r>
      <w:r w:rsidRPr="00D50E91">
        <w:rPr>
          <w:b/>
        </w:rPr>
        <w:t>. §</w:t>
      </w:r>
      <w:r w:rsidR="003528A8">
        <w:rPr>
          <w:b/>
        </w:rPr>
        <w:t>-</w:t>
      </w:r>
      <w:r w:rsidRPr="00D50E91">
        <w:rPr>
          <w:b/>
        </w:rPr>
        <w:t>hoz</w:t>
      </w:r>
    </w:p>
    <w:p w:rsidR="0093536B" w:rsidRPr="00D50E91" w:rsidRDefault="0093536B" w:rsidP="0093536B">
      <w:pPr>
        <w:autoSpaceDE w:val="0"/>
        <w:autoSpaceDN w:val="0"/>
        <w:adjustRightInd w:val="0"/>
        <w:jc w:val="center"/>
        <w:rPr>
          <w:b/>
        </w:rPr>
      </w:pPr>
    </w:p>
    <w:p w:rsidR="0093536B" w:rsidRPr="00D50E91" w:rsidRDefault="0093536B" w:rsidP="0093536B">
      <w:pPr>
        <w:jc w:val="both"/>
      </w:pPr>
      <w:r w:rsidRPr="00D50E91">
        <w:t>Az F</w:t>
      </w:r>
      <w:r w:rsidRPr="00D50E91">
        <w:rPr>
          <w:vertAlign w:val="subscript"/>
        </w:rPr>
        <w:t>roof</w:t>
      </w:r>
      <w:r w:rsidRPr="00D50E91">
        <w:t xml:space="preserve"> osztályú tetőfedés a gyakorlatban előforduló, a tetőfedések esetében az F osztállyal egyenértékű kategória. Egyedi engedélyezés esetén alkalmazásuk engedhető. A kivételel engedélyezésre kerül, hogy azok az E tűzvédelmi osztályú anyagok (jellemzően bitumenes zsindelyek) amelyek alkalmazását a bekezdés első mondatrésze csak az egyedi tűzvédelmi hatósági engedély birtokában engedi meg, engedély nélkül is alkalmazhatóak legyenek, ha teljesítik a Broof(t1) követelményt és az épület egy</w:t>
      </w:r>
      <w:r w:rsidR="003528A8">
        <w:t>-</w:t>
      </w:r>
      <w:r w:rsidRPr="00D50E91">
        <w:t xml:space="preserve"> vagy kétszintes, NAK mértékadó kockázati osztályba sorolt. A jelenlegi szabályozás alapján a fa fedélszerkezetek alkalmazása korlátozott, tekintettel arra, hogy a fa fedélszerkezetnél használt tűzgátló elhatárolás, elburkolás legfeljebb B tűzvédelmi osztálynak felel meg, így az A1</w:t>
      </w:r>
      <w:r w:rsidR="003528A8">
        <w:t>-</w:t>
      </w:r>
      <w:r w:rsidRPr="00D50E91">
        <w:t>A2 tűzvédelmi osztály nem teljesíthető. A módosítással lehetővé válik a B tűzvédelmi osztály teljesítése esetén a faszerkezet megtartására/alkalmazására.</w:t>
      </w:r>
    </w:p>
    <w:p w:rsidR="0093536B" w:rsidRPr="00D50E91" w:rsidRDefault="0093536B" w:rsidP="0093536B">
      <w:pPr>
        <w:autoSpaceDE w:val="0"/>
        <w:autoSpaceDN w:val="0"/>
        <w:adjustRightInd w:val="0"/>
        <w:jc w:val="both"/>
      </w:pPr>
    </w:p>
    <w:p w:rsidR="0093536B" w:rsidRPr="00D50E91" w:rsidRDefault="0093536B" w:rsidP="0093536B">
      <w:pPr>
        <w:autoSpaceDE w:val="0"/>
        <w:autoSpaceDN w:val="0"/>
        <w:adjustRightInd w:val="0"/>
        <w:jc w:val="center"/>
      </w:pPr>
      <w:r w:rsidRPr="00D50E91">
        <w:rPr>
          <w:b/>
        </w:rPr>
        <w:t>2</w:t>
      </w:r>
      <w:r w:rsidR="000470E7" w:rsidRPr="00D50E91">
        <w:rPr>
          <w:b/>
        </w:rPr>
        <w:t>4</w:t>
      </w:r>
      <w:r w:rsidRPr="00D50E91">
        <w:rPr>
          <w:b/>
        </w:rPr>
        <w:t>. §</w:t>
      </w:r>
      <w:r w:rsidR="003528A8">
        <w:rPr>
          <w:b/>
        </w:rPr>
        <w:t>-</w:t>
      </w:r>
      <w:r w:rsidRPr="00D50E91">
        <w:rPr>
          <w:b/>
        </w:rPr>
        <w:t>hoz</w:t>
      </w:r>
    </w:p>
    <w:p w:rsidR="0093536B" w:rsidRPr="00D50E91" w:rsidRDefault="0093536B" w:rsidP="0093536B">
      <w:pPr>
        <w:autoSpaceDE w:val="0"/>
        <w:autoSpaceDN w:val="0"/>
        <w:adjustRightInd w:val="0"/>
        <w:jc w:val="center"/>
      </w:pPr>
    </w:p>
    <w:p w:rsidR="0093536B" w:rsidRPr="00D50E91" w:rsidRDefault="0093536B" w:rsidP="0093536B">
      <w:pPr>
        <w:autoSpaceDE w:val="0"/>
        <w:autoSpaceDN w:val="0"/>
        <w:adjustRightInd w:val="0"/>
        <w:jc w:val="both"/>
      </w:pPr>
      <w:r w:rsidRPr="00D50E91">
        <w:t>A kivételek azokat az eseteket sorolják fel, ahol nem kell betartani az elhelyezési követelményt, mert a kialakítás nem segíti elő a tűz terjedését.</w:t>
      </w:r>
    </w:p>
    <w:p w:rsidR="0093536B" w:rsidRPr="00D50E91" w:rsidRDefault="0093536B" w:rsidP="0093536B">
      <w:pPr>
        <w:autoSpaceDE w:val="0"/>
        <w:autoSpaceDN w:val="0"/>
        <w:adjustRightInd w:val="0"/>
        <w:jc w:val="both"/>
      </w:pPr>
    </w:p>
    <w:p w:rsidR="0093536B" w:rsidRPr="00D50E91" w:rsidRDefault="0093536B" w:rsidP="0093536B">
      <w:pPr>
        <w:autoSpaceDE w:val="0"/>
        <w:autoSpaceDN w:val="0"/>
        <w:adjustRightInd w:val="0"/>
        <w:jc w:val="center"/>
      </w:pPr>
      <w:r w:rsidRPr="00D50E91">
        <w:rPr>
          <w:b/>
        </w:rPr>
        <w:t>2</w:t>
      </w:r>
      <w:r w:rsidR="000470E7" w:rsidRPr="00D50E91">
        <w:rPr>
          <w:b/>
        </w:rPr>
        <w:t>5</w:t>
      </w:r>
      <w:r w:rsidRPr="00D50E91">
        <w:rPr>
          <w:b/>
        </w:rPr>
        <w:t>. §</w:t>
      </w:r>
      <w:r w:rsidR="003528A8">
        <w:rPr>
          <w:b/>
        </w:rPr>
        <w:t>-</w:t>
      </w:r>
      <w:r w:rsidRPr="00D50E91">
        <w:rPr>
          <w:b/>
        </w:rPr>
        <w:t>hoz</w:t>
      </w:r>
    </w:p>
    <w:p w:rsidR="0093536B" w:rsidRPr="00D50E91" w:rsidRDefault="0093536B" w:rsidP="0093536B">
      <w:pPr>
        <w:autoSpaceDE w:val="0"/>
        <w:autoSpaceDN w:val="0"/>
        <w:adjustRightInd w:val="0"/>
        <w:jc w:val="both"/>
      </w:pPr>
    </w:p>
    <w:p w:rsidR="0093536B" w:rsidRPr="00D50E91" w:rsidRDefault="0093536B" w:rsidP="0093536B">
      <w:pPr>
        <w:autoSpaceDE w:val="0"/>
        <w:autoSpaceDN w:val="0"/>
        <w:adjustRightInd w:val="0"/>
        <w:jc w:val="both"/>
      </w:pPr>
      <w:r w:rsidRPr="00D50E91">
        <w:t xml:space="preserve">A rendelkezés szerinti kockázati egységeket a keletkezett tűz hatásai ellen – tekintettel a helyiségben tárolt anyagok veszélyességére is – kiemelten szükséges védeni, ez indokolja a tűzgátló elhatárolások előírásait. </w:t>
      </w:r>
    </w:p>
    <w:p w:rsidR="0093536B" w:rsidRPr="00D50E91" w:rsidRDefault="0093536B" w:rsidP="0093536B">
      <w:pPr>
        <w:autoSpaceDE w:val="0"/>
        <w:autoSpaceDN w:val="0"/>
        <w:adjustRightInd w:val="0"/>
        <w:jc w:val="both"/>
      </w:pPr>
    </w:p>
    <w:p w:rsidR="0093536B" w:rsidRPr="00D50E91" w:rsidRDefault="0093536B" w:rsidP="0093536B">
      <w:pPr>
        <w:autoSpaceDE w:val="0"/>
        <w:autoSpaceDN w:val="0"/>
        <w:adjustRightInd w:val="0"/>
        <w:jc w:val="center"/>
      </w:pPr>
      <w:r w:rsidRPr="00D50E91">
        <w:rPr>
          <w:b/>
        </w:rPr>
        <w:t>2</w:t>
      </w:r>
      <w:r w:rsidR="000470E7" w:rsidRPr="00D50E91">
        <w:rPr>
          <w:b/>
        </w:rPr>
        <w:t>6</w:t>
      </w:r>
      <w:r w:rsidRPr="00D50E91">
        <w:rPr>
          <w:b/>
        </w:rPr>
        <w:t>. §</w:t>
      </w:r>
      <w:r w:rsidR="003528A8">
        <w:rPr>
          <w:b/>
        </w:rPr>
        <w:t>-</w:t>
      </w:r>
      <w:r w:rsidRPr="00D50E91">
        <w:rPr>
          <w:b/>
        </w:rPr>
        <w:t>hoz</w:t>
      </w:r>
    </w:p>
    <w:p w:rsidR="0093536B" w:rsidRPr="00D50E91" w:rsidRDefault="0093536B" w:rsidP="0093536B">
      <w:pPr>
        <w:autoSpaceDE w:val="0"/>
        <w:autoSpaceDN w:val="0"/>
        <w:adjustRightInd w:val="0"/>
        <w:jc w:val="both"/>
      </w:pPr>
    </w:p>
    <w:p w:rsidR="0093536B" w:rsidRPr="00D50E91" w:rsidRDefault="0093536B" w:rsidP="0093536B">
      <w:pPr>
        <w:jc w:val="both"/>
      </w:pPr>
      <w:r w:rsidRPr="00D50E91">
        <w:t>A szellőzőrendszer füst</w:t>
      </w:r>
      <w:r w:rsidR="003528A8">
        <w:t>-</w:t>
      </w:r>
      <w:r w:rsidRPr="00D50E91">
        <w:t xml:space="preserve"> és tűzterjedést gátló kialakítása indokolatlan akkor, ha a szellőzőrendszerrel összekötött helyiségek között más helyiségkapcsolatok korlátozás nélkül lehetővé teszik a füst és a tűz átterjedését (pl. födémáttörés, ajtónyílás), továbbá a szellőzővezetékek szigetelése esetében a vonatkozó műszaki követelmény értelmében a tűzvédelmi osztály jelölése kiegészül az L alsó indexszel, ezt követi a módosítás.</w:t>
      </w:r>
    </w:p>
    <w:p w:rsidR="0093536B" w:rsidRPr="00D50E91" w:rsidRDefault="0093536B" w:rsidP="0093536B">
      <w:pPr>
        <w:jc w:val="both"/>
      </w:pPr>
    </w:p>
    <w:p w:rsidR="0093536B" w:rsidRPr="00D50E91" w:rsidRDefault="0093536B" w:rsidP="0093536B">
      <w:pPr>
        <w:autoSpaceDE w:val="0"/>
        <w:autoSpaceDN w:val="0"/>
        <w:adjustRightInd w:val="0"/>
        <w:jc w:val="center"/>
        <w:rPr>
          <w:b/>
        </w:rPr>
      </w:pPr>
      <w:r w:rsidRPr="00D50E91">
        <w:rPr>
          <w:b/>
        </w:rPr>
        <w:t>2</w:t>
      </w:r>
      <w:r w:rsidR="000470E7" w:rsidRPr="00D50E91">
        <w:rPr>
          <w:b/>
        </w:rPr>
        <w:t>7</w:t>
      </w:r>
      <w:r w:rsidRPr="00D50E91">
        <w:rPr>
          <w:b/>
        </w:rPr>
        <w:t>. §</w:t>
      </w:r>
      <w:r w:rsidR="003528A8">
        <w:rPr>
          <w:b/>
        </w:rPr>
        <w:t>-</w:t>
      </w:r>
      <w:r w:rsidRPr="00D50E91">
        <w:rPr>
          <w:b/>
        </w:rPr>
        <w:t>hoz</w:t>
      </w:r>
    </w:p>
    <w:p w:rsidR="0093536B" w:rsidRPr="00D50E91" w:rsidRDefault="0093536B" w:rsidP="0093536B">
      <w:pPr>
        <w:autoSpaceDE w:val="0"/>
        <w:autoSpaceDN w:val="0"/>
        <w:adjustRightInd w:val="0"/>
        <w:jc w:val="center"/>
        <w:rPr>
          <w:b/>
        </w:rPr>
      </w:pPr>
    </w:p>
    <w:p w:rsidR="0093536B" w:rsidRPr="00D50E91" w:rsidRDefault="0093536B" w:rsidP="0093536B">
      <w:pPr>
        <w:autoSpaceDE w:val="0"/>
        <w:autoSpaceDN w:val="0"/>
        <w:adjustRightInd w:val="0"/>
        <w:jc w:val="both"/>
      </w:pPr>
      <w:r w:rsidRPr="00D50E91">
        <w:t>Az épület helyett a kockázati egységre szűkül a követelmény. Ennek háttere a kockázati egységekre fókuszáló követelményrendszer. Ha a NAK kockázati osztályú kockázati egység nem önállóan helyezkedik el (azaz nem NAK mértékadó kockázati osztályú épületet képezve), akkor a kockázati egységek közötti tűzterjedést gátló elválasztásra tekintettel, ugyanez a kockázati egység szigorúbb kockázati osztályú kockázati egységgel egy épületet alkotva sem jelent nagyobb kockázatot. A belső válaszfalakkal, megközelítéssel és közös közlekedővel kialakított, azaz közös bejáratú helyiségcsoport tűzvédelmi szempontból nem kedvezőtlenebb, mint az egy helyiségként kialakított helyiséggel, emiatt elégséges a helyiségcsoportot elhatárolni a meghatározott tűzállóságú szerkezetekkel, nem szükséges a helyiségcsoporton belüli egyes tárolókat egymástól megfelelő fallal és tűzgátló ajtóval kialakítani. A szabadba nyíló kijáratokkal szemben pedig nem indokolt tűzállósági követelmény megállapítása.</w:t>
      </w:r>
    </w:p>
    <w:p w:rsidR="0093536B" w:rsidRPr="00D50E91" w:rsidRDefault="0093536B" w:rsidP="0093536B">
      <w:pPr>
        <w:jc w:val="both"/>
      </w:pPr>
    </w:p>
    <w:p w:rsidR="0093536B" w:rsidRPr="00D50E91" w:rsidRDefault="0093536B" w:rsidP="0093536B">
      <w:pPr>
        <w:jc w:val="center"/>
        <w:rPr>
          <w:b/>
        </w:rPr>
      </w:pPr>
      <w:r w:rsidRPr="00D50E91">
        <w:rPr>
          <w:b/>
        </w:rPr>
        <w:t>2</w:t>
      </w:r>
      <w:r w:rsidR="000470E7" w:rsidRPr="00D50E91">
        <w:rPr>
          <w:b/>
        </w:rPr>
        <w:t>8</w:t>
      </w:r>
      <w:r w:rsidRPr="00D50E91">
        <w:rPr>
          <w:b/>
        </w:rPr>
        <w:t>. §</w:t>
      </w:r>
      <w:r w:rsidR="003528A8">
        <w:rPr>
          <w:b/>
        </w:rPr>
        <w:t>-</w:t>
      </w:r>
      <w:r w:rsidRPr="00D50E91">
        <w:rPr>
          <w:b/>
        </w:rPr>
        <w:t>hoz</w:t>
      </w:r>
    </w:p>
    <w:p w:rsidR="0093536B" w:rsidRPr="00D50E91" w:rsidRDefault="0093536B" w:rsidP="0093536B">
      <w:pPr>
        <w:jc w:val="center"/>
        <w:rPr>
          <w:b/>
        </w:rPr>
      </w:pPr>
    </w:p>
    <w:p w:rsidR="0093536B" w:rsidRPr="00D50E91" w:rsidRDefault="00DF5B2A" w:rsidP="008F4B0C">
      <w:pPr>
        <w:autoSpaceDE w:val="0"/>
        <w:autoSpaceDN w:val="0"/>
        <w:adjustRightInd w:val="0"/>
        <w:jc w:val="both"/>
      </w:pPr>
      <w:r w:rsidRPr="00D50E91">
        <w:t>A kiürítési útvonal védelme indokolja, hogy egységes tűzállóságú határoló fal vegye körbe a szobaegységeket, a tervezési alapelveknek és a védelmi síkok folytonosságának megfelelően.</w:t>
      </w:r>
      <w:r w:rsidR="008F4B0C" w:rsidRPr="00D50E91">
        <w:t xml:space="preserve"> </w:t>
      </w:r>
      <w:r w:rsidR="0093536B" w:rsidRPr="00D50E91">
        <w:t xml:space="preserve">Az épület helyett a kockázati egységre szűkül a követelmény, ennek háttere a kockázati egységekre fókuszáló követelményrendszer: ha a NAK kockázati osztályú kockázati egység nem önállóan helyezkedik el (azaz nem NAK mértékadó kockázati osztályú épületet képezve), akkor a kockázati </w:t>
      </w:r>
      <w:r w:rsidR="0093536B" w:rsidRPr="00D50E91">
        <w:lastRenderedPageBreak/>
        <w:t>egységek közötti tűzterjedést gátló elválasztásra tekintettel ugyanez a kockázati egység szigorúbb kockázati osztályú kockázati egységgel egy épületet alkotva sem jelent nagyobb kockázatot. A lakórendeltetésre vonatkozó enyhébb követelmények alkalmazását a felsorolt feltételek teljesülése teszi lehetővé a tervezet szerint. A létszámbeli, illetve felnőtt</w:t>
      </w:r>
      <w:r w:rsidR="003528A8">
        <w:t>-</w:t>
      </w:r>
      <w:r w:rsidR="0093536B" w:rsidRPr="00D50E91">
        <w:t>gyermek arányra vonatkozó korlátok az (5) bekezdés a) és b) pontjainak teljesülése esetén az adott rendeltetések a lakórendeltetéshez, családi élethez hasonló életmódot eredményeznek, emiatt lehetséges az enyhébb követelmények alkalmazása. A megváltozott hagyományos bölcsődének nem minősülő ellátási formák (pl. mini bölcsőde) esetében indokolt, hogy a bölcsődés korosztályt a tűzvédelmi szabályozás eltérően kezelje, elsősorban a kiürítés feltételeinek biztosításával. Ennek része a gyors kiürítést, mentést biztosító elhelyezés.</w:t>
      </w:r>
    </w:p>
    <w:p w:rsidR="0093536B" w:rsidRPr="00D50E91" w:rsidRDefault="0093536B" w:rsidP="0093536B">
      <w:pPr>
        <w:jc w:val="both"/>
      </w:pPr>
    </w:p>
    <w:p w:rsidR="0093536B" w:rsidRPr="00D50E91" w:rsidRDefault="0093536B" w:rsidP="0093536B">
      <w:pPr>
        <w:jc w:val="center"/>
      </w:pPr>
      <w:r w:rsidRPr="00D50E91">
        <w:rPr>
          <w:b/>
        </w:rPr>
        <w:t>2</w:t>
      </w:r>
      <w:r w:rsidR="000470E7" w:rsidRPr="00D50E91">
        <w:rPr>
          <w:b/>
        </w:rPr>
        <w:t>9</w:t>
      </w:r>
      <w:r w:rsidRPr="00D50E91">
        <w:rPr>
          <w:b/>
        </w:rPr>
        <w:t>. §</w:t>
      </w:r>
      <w:r w:rsidR="003528A8">
        <w:rPr>
          <w:b/>
        </w:rPr>
        <w:t>-</w:t>
      </w:r>
      <w:r w:rsidRPr="00D50E91">
        <w:rPr>
          <w:b/>
        </w:rPr>
        <w:t>hoz</w:t>
      </w:r>
    </w:p>
    <w:p w:rsidR="0093536B" w:rsidRPr="00D50E91" w:rsidRDefault="0093536B" w:rsidP="0093536B">
      <w:pPr>
        <w:jc w:val="both"/>
      </w:pPr>
    </w:p>
    <w:p w:rsidR="0093536B" w:rsidRPr="00D50E91" w:rsidRDefault="0093536B" w:rsidP="0093536B">
      <w:pPr>
        <w:jc w:val="both"/>
      </w:pPr>
      <w:r w:rsidRPr="00D50E91">
        <w:t>Technikai jellegű pontosítást tartalmaz.</w:t>
      </w:r>
    </w:p>
    <w:p w:rsidR="0093536B" w:rsidRPr="00D50E91" w:rsidRDefault="0093536B" w:rsidP="0093536B">
      <w:pPr>
        <w:jc w:val="both"/>
      </w:pPr>
    </w:p>
    <w:p w:rsidR="0093536B" w:rsidRPr="00D50E91" w:rsidRDefault="000470E7" w:rsidP="0093536B">
      <w:pPr>
        <w:jc w:val="center"/>
      </w:pPr>
      <w:r w:rsidRPr="00D50E91">
        <w:rPr>
          <w:b/>
        </w:rPr>
        <w:t>30</w:t>
      </w:r>
      <w:r w:rsidR="0093536B" w:rsidRPr="00D50E91">
        <w:rPr>
          <w:b/>
        </w:rPr>
        <w:t>. §</w:t>
      </w:r>
      <w:r w:rsidR="003528A8">
        <w:rPr>
          <w:b/>
        </w:rPr>
        <w:t>-</w:t>
      </w:r>
      <w:r w:rsidR="0093536B" w:rsidRPr="00D50E91">
        <w:rPr>
          <w:b/>
        </w:rPr>
        <w:t>hoz</w:t>
      </w:r>
    </w:p>
    <w:p w:rsidR="0093536B" w:rsidRPr="00D50E91" w:rsidRDefault="0093536B" w:rsidP="0093536B">
      <w:pPr>
        <w:jc w:val="both"/>
      </w:pPr>
    </w:p>
    <w:p w:rsidR="0093536B" w:rsidRPr="00D50E91" w:rsidRDefault="0093536B" w:rsidP="0093536B">
      <w:pPr>
        <w:jc w:val="both"/>
      </w:pPr>
      <w:r w:rsidRPr="00D50E91">
        <w:t>A megváltozott hagyományos bölcsődének nem minősülő ellátási formák (pl. mini bölcsőde) esetében indokolt, hogy a bölcsődés korosztályt a tűzvédelmi szabályozás kezelje, elsősorban a kiürítés feltételeinek biztosításával. Ennek része a gyors kiürítést, mentést biztosító elhelyezés, amely a szintkülönbség áthidalása nélkül elhagyható tartózkodási helyet ír elő. A kockázati egységet tűzszakaszhatár szintű szerkezettel kell határolni. Az óvoda vagy más oktatási, nevelési rendeltetési egység a bent lévők védelme érdekében meghatározott szabályok szerint kerülhet egy kockázati egységbe és adott esetben egy tűzszakaszba más rendeltetésekkel. Az épület helyett a kockázati egységre szűkül a követelmény, ennek háttere a kockázati egységekre fókuszáló követelményrendszer. Amennyiben a NAK kockázati osztályú kockázati egység nem önállóan helyezkedik el (azaz nem NAK mértékadó kockázati osztályú épületet képezve), akkor a kockázati egységek közötti tűzterjedést gátló elválasztásra tekintettel ugyanez a kockázati egység szigorúbb kockázati osztályú kockázati egységgel egy épületet alkotva sem jelent nagyobb kockázatot. A családi napközik megszüntetését követően új ellátási formákat vezettek be, amelyeket a jogszabály nem szabályozott. Az érintett személyek életkorára, menekülési képességére tekintettel szükséges szabályozni azt, hogy milyen esetben (milyen felnőtt – mentő – és gyermek – mentendő – személy arány) esetén lehet ezeket a rendeltetéseket a lakórendeltetéshez hasonló, enyhébb követelmények alá vonni.</w:t>
      </w:r>
    </w:p>
    <w:p w:rsidR="0093536B" w:rsidRPr="00D50E91" w:rsidRDefault="0093536B" w:rsidP="0093536B">
      <w:pPr>
        <w:jc w:val="both"/>
      </w:pPr>
    </w:p>
    <w:p w:rsidR="0093536B" w:rsidRPr="00D50E91" w:rsidRDefault="0093536B" w:rsidP="0093536B">
      <w:pPr>
        <w:jc w:val="center"/>
      </w:pPr>
      <w:r w:rsidRPr="00D50E91">
        <w:rPr>
          <w:b/>
        </w:rPr>
        <w:t>3</w:t>
      </w:r>
      <w:r w:rsidR="000470E7" w:rsidRPr="00D50E91">
        <w:rPr>
          <w:b/>
        </w:rPr>
        <w:t>1</w:t>
      </w:r>
      <w:r w:rsidRPr="00D50E91">
        <w:rPr>
          <w:b/>
        </w:rPr>
        <w:t>. §</w:t>
      </w:r>
      <w:r w:rsidR="003528A8">
        <w:rPr>
          <w:b/>
        </w:rPr>
        <w:t>-</w:t>
      </w:r>
      <w:r w:rsidRPr="00D50E91">
        <w:rPr>
          <w:b/>
        </w:rPr>
        <w:t>hoz</w:t>
      </w:r>
    </w:p>
    <w:p w:rsidR="0093536B" w:rsidRPr="00D50E91" w:rsidRDefault="0093536B" w:rsidP="0093536B">
      <w:pPr>
        <w:jc w:val="both"/>
      </w:pPr>
    </w:p>
    <w:p w:rsidR="0093536B" w:rsidRPr="00D50E91" w:rsidRDefault="0093536B" w:rsidP="0093536B">
      <w:pPr>
        <w:jc w:val="both"/>
      </w:pPr>
      <w:r w:rsidRPr="00D50E91">
        <w:t>A kiegészítése lehetővé teszi, hogy a sterilitás szempontjából egy térként kezelendő helyiségcsoportot, illetve a betegellátás folyamata miatt kapcsolódó helyiségeket tűzvédelmi szempontból egy tűzszakaszként lehessen kezelni. Az ajtók esetében jellemzőként tűzvédelmi osztályt a vonatkozó műszaki előírások nem állapítanak meg, emiatt valamennyi ajtó esetében törlésre kerül a tűzvédelmi osztály követelménye.</w:t>
      </w:r>
    </w:p>
    <w:p w:rsidR="0093536B" w:rsidRPr="00D50E91" w:rsidRDefault="0093536B" w:rsidP="0093536B">
      <w:pPr>
        <w:jc w:val="both"/>
      </w:pPr>
    </w:p>
    <w:p w:rsidR="0093536B" w:rsidRPr="00D50E91" w:rsidRDefault="0093536B" w:rsidP="0093536B">
      <w:pPr>
        <w:jc w:val="center"/>
        <w:rPr>
          <w:b/>
        </w:rPr>
      </w:pPr>
      <w:r w:rsidRPr="00D50E91">
        <w:rPr>
          <w:b/>
        </w:rPr>
        <w:t>3</w:t>
      </w:r>
      <w:r w:rsidR="000470E7" w:rsidRPr="00D50E91">
        <w:rPr>
          <w:b/>
        </w:rPr>
        <w:t>2</w:t>
      </w:r>
      <w:r w:rsidRPr="00D50E91">
        <w:rPr>
          <w:b/>
        </w:rPr>
        <w:t>. §</w:t>
      </w:r>
      <w:r w:rsidR="003528A8">
        <w:rPr>
          <w:b/>
        </w:rPr>
        <w:t>-</w:t>
      </w:r>
      <w:r w:rsidRPr="00D50E91">
        <w:rPr>
          <w:b/>
        </w:rPr>
        <w:t>hoz</w:t>
      </w:r>
    </w:p>
    <w:p w:rsidR="0093536B" w:rsidRPr="00D50E91" w:rsidRDefault="0093536B" w:rsidP="0093536B">
      <w:pPr>
        <w:jc w:val="center"/>
        <w:rPr>
          <w:b/>
        </w:rPr>
      </w:pPr>
    </w:p>
    <w:p w:rsidR="0093536B" w:rsidRPr="00D50E91" w:rsidRDefault="0093536B" w:rsidP="0093536B">
      <w:pPr>
        <w:jc w:val="both"/>
      </w:pPr>
      <w:r w:rsidRPr="00D50E91">
        <w:t>A módosítás értelmében a szociális rendeltetések tűzvédelmi szempontból a többi rendeltetéshez hasonlóan kezelhetőek.</w:t>
      </w:r>
    </w:p>
    <w:p w:rsidR="0093536B" w:rsidRPr="00D50E91" w:rsidRDefault="0093536B" w:rsidP="0093536B">
      <w:pPr>
        <w:jc w:val="both"/>
      </w:pPr>
    </w:p>
    <w:p w:rsidR="0093536B" w:rsidRPr="00D50E91" w:rsidRDefault="0093536B" w:rsidP="0093536B">
      <w:pPr>
        <w:jc w:val="center"/>
      </w:pPr>
      <w:r w:rsidRPr="00D50E91">
        <w:rPr>
          <w:b/>
        </w:rPr>
        <w:t>3</w:t>
      </w:r>
      <w:r w:rsidR="000470E7" w:rsidRPr="00D50E91">
        <w:rPr>
          <w:b/>
        </w:rPr>
        <w:t>3</w:t>
      </w:r>
      <w:r w:rsidRPr="00D50E91">
        <w:rPr>
          <w:b/>
        </w:rPr>
        <w:t>. §</w:t>
      </w:r>
      <w:r w:rsidR="003528A8">
        <w:rPr>
          <w:b/>
        </w:rPr>
        <w:t>-</w:t>
      </w:r>
      <w:r w:rsidRPr="00D50E91">
        <w:rPr>
          <w:b/>
        </w:rPr>
        <w:t>hoz</w:t>
      </w:r>
    </w:p>
    <w:p w:rsidR="0093536B" w:rsidRPr="00D50E91" w:rsidRDefault="0093536B" w:rsidP="0093536B">
      <w:pPr>
        <w:jc w:val="both"/>
      </w:pPr>
    </w:p>
    <w:p w:rsidR="0093536B" w:rsidRPr="00D50E91" w:rsidRDefault="0093536B" w:rsidP="0093536B">
      <w:pPr>
        <w:jc w:val="both"/>
      </w:pPr>
      <w:r w:rsidRPr="00D50E91">
        <w:t>Technikai jellegű pontosítást tartalmaz.</w:t>
      </w:r>
    </w:p>
    <w:p w:rsidR="0093536B" w:rsidRPr="00D50E91" w:rsidRDefault="0093536B" w:rsidP="0093536B">
      <w:pPr>
        <w:jc w:val="both"/>
      </w:pPr>
    </w:p>
    <w:p w:rsidR="0093536B" w:rsidRPr="00D50E91" w:rsidRDefault="0093536B" w:rsidP="0093536B">
      <w:pPr>
        <w:jc w:val="center"/>
        <w:rPr>
          <w:b/>
        </w:rPr>
      </w:pPr>
      <w:r w:rsidRPr="00D50E91">
        <w:rPr>
          <w:b/>
        </w:rPr>
        <w:lastRenderedPageBreak/>
        <w:t>3</w:t>
      </w:r>
      <w:r w:rsidR="000470E7" w:rsidRPr="00D50E91">
        <w:rPr>
          <w:b/>
        </w:rPr>
        <w:t>4</w:t>
      </w:r>
      <w:r w:rsidRPr="00D50E91">
        <w:rPr>
          <w:b/>
        </w:rPr>
        <w:t>. §</w:t>
      </w:r>
      <w:r w:rsidR="003528A8">
        <w:rPr>
          <w:b/>
        </w:rPr>
        <w:t>-</w:t>
      </w:r>
      <w:r w:rsidRPr="00D50E91">
        <w:rPr>
          <w:b/>
        </w:rPr>
        <w:t>hoz</w:t>
      </w:r>
    </w:p>
    <w:p w:rsidR="0093536B" w:rsidRPr="00D50E91" w:rsidRDefault="0093536B" w:rsidP="0093536B">
      <w:pPr>
        <w:jc w:val="center"/>
        <w:rPr>
          <w:b/>
        </w:rPr>
      </w:pPr>
    </w:p>
    <w:p w:rsidR="0093536B" w:rsidRPr="00D50E91" w:rsidRDefault="0093536B" w:rsidP="0093536B">
      <w:pPr>
        <w:jc w:val="both"/>
      </w:pPr>
      <w:r w:rsidRPr="00D50E91">
        <w:t>A belső válaszfalakkal, megközelítéssel és közös közlekedővel kialakított, azaz közös bejáratú helyiségcsoport tűzvédelmi szempontból nem kedvezőtlenebb az egy helyiségként kialakított helyiséggel, emiatt elégséges a helyiségcsoportot elhatárolni a meghatározott tűzállóságú szerkezetekkel, nem szükséges a helyiségcsoporton belüli egyes tárolókat egymástól megfelelő fallal és tűzgátló ajtóval kialakítani. Továbbá technikai jellegű módosításokat tartalmaz.</w:t>
      </w:r>
    </w:p>
    <w:p w:rsidR="0093536B" w:rsidRPr="00D50E91" w:rsidRDefault="0093536B" w:rsidP="0093536B">
      <w:pPr>
        <w:jc w:val="both"/>
      </w:pPr>
    </w:p>
    <w:p w:rsidR="0093536B" w:rsidRPr="00D50E91" w:rsidRDefault="0093536B" w:rsidP="0093536B">
      <w:pPr>
        <w:jc w:val="center"/>
        <w:rPr>
          <w:b/>
        </w:rPr>
      </w:pPr>
      <w:r w:rsidRPr="00D50E91">
        <w:rPr>
          <w:b/>
        </w:rPr>
        <w:t>3</w:t>
      </w:r>
      <w:r w:rsidR="000470E7" w:rsidRPr="00D50E91">
        <w:rPr>
          <w:b/>
        </w:rPr>
        <w:t>5</w:t>
      </w:r>
      <w:r w:rsidRPr="00D50E91">
        <w:rPr>
          <w:b/>
        </w:rPr>
        <w:t>. §</w:t>
      </w:r>
      <w:r w:rsidR="003528A8">
        <w:rPr>
          <w:b/>
        </w:rPr>
        <w:t>-</w:t>
      </w:r>
      <w:r w:rsidRPr="00D50E91">
        <w:rPr>
          <w:b/>
        </w:rPr>
        <w:t>hoz</w:t>
      </w:r>
    </w:p>
    <w:p w:rsidR="0093536B" w:rsidRPr="00D50E91" w:rsidRDefault="0093536B" w:rsidP="0093536B">
      <w:pPr>
        <w:jc w:val="center"/>
        <w:rPr>
          <w:b/>
        </w:rPr>
      </w:pPr>
    </w:p>
    <w:p w:rsidR="0093536B" w:rsidRPr="00D50E91" w:rsidRDefault="0093536B" w:rsidP="0093536B">
      <w:pPr>
        <w:jc w:val="both"/>
      </w:pPr>
      <w:r w:rsidRPr="00D50E91">
        <w:t>Technikai jellegű pontosítást tartalmaz.</w:t>
      </w:r>
    </w:p>
    <w:p w:rsidR="0093536B" w:rsidRPr="00D50E91" w:rsidRDefault="0093536B" w:rsidP="0093536B">
      <w:pPr>
        <w:jc w:val="both"/>
      </w:pPr>
    </w:p>
    <w:p w:rsidR="0093536B" w:rsidRPr="00D50E91" w:rsidRDefault="0093536B" w:rsidP="0093536B">
      <w:pPr>
        <w:jc w:val="center"/>
        <w:rPr>
          <w:b/>
        </w:rPr>
      </w:pPr>
      <w:r w:rsidRPr="00D50E91">
        <w:rPr>
          <w:b/>
        </w:rPr>
        <w:t>3</w:t>
      </w:r>
      <w:r w:rsidR="000470E7" w:rsidRPr="00D50E91">
        <w:rPr>
          <w:b/>
        </w:rPr>
        <w:t>6</w:t>
      </w:r>
      <w:r w:rsidRPr="00D50E91">
        <w:rPr>
          <w:b/>
        </w:rPr>
        <w:t>. §</w:t>
      </w:r>
      <w:r w:rsidR="003528A8">
        <w:rPr>
          <w:b/>
        </w:rPr>
        <w:t>-</w:t>
      </w:r>
      <w:r w:rsidRPr="00D50E91">
        <w:rPr>
          <w:b/>
        </w:rPr>
        <w:t>hoz</w:t>
      </w:r>
    </w:p>
    <w:p w:rsidR="0093536B" w:rsidRPr="00D50E91" w:rsidRDefault="0093536B" w:rsidP="0093536B">
      <w:pPr>
        <w:jc w:val="center"/>
        <w:rPr>
          <w:b/>
        </w:rPr>
      </w:pPr>
    </w:p>
    <w:p w:rsidR="0093536B" w:rsidRPr="00D50E91" w:rsidRDefault="0093536B" w:rsidP="0093536B">
      <w:pPr>
        <w:jc w:val="both"/>
      </w:pPr>
      <w:r w:rsidRPr="00D50E91">
        <w:t>A 17. mellékletben foglaltak</w:t>
      </w:r>
      <w:r w:rsidR="00E474B4">
        <w:t>hoz</w:t>
      </w:r>
      <w:r w:rsidRPr="00D50E91">
        <w:t xml:space="preserve"> kapcsolódó technikai jellegű módosítás.</w:t>
      </w:r>
    </w:p>
    <w:p w:rsidR="0093536B" w:rsidRPr="00D50E91" w:rsidRDefault="0093536B" w:rsidP="0093536B">
      <w:pPr>
        <w:jc w:val="both"/>
      </w:pPr>
    </w:p>
    <w:p w:rsidR="0093536B" w:rsidRPr="00D50E91" w:rsidRDefault="0093536B" w:rsidP="0093536B">
      <w:pPr>
        <w:jc w:val="center"/>
        <w:rPr>
          <w:b/>
        </w:rPr>
      </w:pPr>
      <w:r w:rsidRPr="00D50E91">
        <w:rPr>
          <w:b/>
        </w:rPr>
        <w:t>3</w:t>
      </w:r>
      <w:r w:rsidR="000470E7" w:rsidRPr="00D50E91">
        <w:rPr>
          <w:b/>
        </w:rPr>
        <w:t>7</w:t>
      </w:r>
      <w:r w:rsidRPr="00D50E91">
        <w:rPr>
          <w:b/>
        </w:rPr>
        <w:t>. §</w:t>
      </w:r>
      <w:r w:rsidR="003528A8">
        <w:rPr>
          <w:b/>
        </w:rPr>
        <w:t>-</w:t>
      </w:r>
      <w:r w:rsidRPr="00D50E91">
        <w:rPr>
          <w:b/>
        </w:rPr>
        <w:t>hoz</w:t>
      </w:r>
    </w:p>
    <w:p w:rsidR="0093536B" w:rsidRPr="00D50E91" w:rsidRDefault="0093536B" w:rsidP="0093536B">
      <w:pPr>
        <w:jc w:val="center"/>
        <w:rPr>
          <w:b/>
        </w:rPr>
      </w:pPr>
    </w:p>
    <w:p w:rsidR="0093536B" w:rsidRPr="00D50E91" w:rsidRDefault="0093536B" w:rsidP="0093536B">
      <w:pPr>
        <w:jc w:val="both"/>
      </w:pPr>
      <w:r w:rsidRPr="00D50E91">
        <w:t>A tehergépjármű és hasonló nagyméretű jármű égésénél a személygépkocsi tüzekhez viszonyítva a tűz intenzitása, teljesítménye lényegesen nagyobb lehet, ez mindenképpen indokolja a tűz kiterjedését korlátozó tűzgátló elválasztás személygépjárművektől eltérő szabályozását. További technikai jellegű pontosításokat tartalmaz.</w:t>
      </w:r>
    </w:p>
    <w:p w:rsidR="0093536B" w:rsidRPr="00D50E91" w:rsidRDefault="0093536B" w:rsidP="0093536B">
      <w:pPr>
        <w:jc w:val="both"/>
      </w:pPr>
    </w:p>
    <w:p w:rsidR="0093536B" w:rsidRPr="00D50E91" w:rsidRDefault="0093536B" w:rsidP="0093536B">
      <w:pPr>
        <w:jc w:val="center"/>
        <w:rPr>
          <w:b/>
        </w:rPr>
      </w:pPr>
      <w:r w:rsidRPr="00D50E91">
        <w:rPr>
          <w:b/>
        </w:rPr>
        <w:t>3</w:t>
      </w:r>
      <w:r w:rsidR="000470E7" w:rsidRPr="00D50E91">
        <w:rPr>
          <w:b/>
        </w:rPr>
        <w:t>8</w:t>
      </w:r>
      <w:r w:rsidRPr="00D50E91">
        <w:rPr>
          <w:b/>
        </w:rPr>
        <w:t>. §</w:t>
      </w:r>
      <w:r w:rsidR="003528A8">
        <w:rPr>
          <w:b/>
        </w:rPr>
        <w:t>-</w:t>
      </w:r>
      <w:r w:rsidRPr="00D50E91">
        <w:rPr>
          <w:b/>
        </w:rPr>
        <w:t>hoz</w:t>
      </w:r>
    </w:p>
    <w:p w:rsidR="0093536B" w:rsidRPr="00D50E91" w:rsidRDefault="0093536B" w:rsidP="0093536B">
      <w:pPr>
        <w:jc w:val="center"/>
        <w:rPr>
          <w:b/>
        </w:rPr>
      </w:pPr>
    </w:p>
    <w:p w:rsidR="0093536B" w:rsidRPr="00D50E91" w:rsidRDefault="0093536B" w:rsidP="0093536B">
      <w:pPr>
        <w:jc w:val="both"/>
      </w:pPr>
      <w:r w:rsidRPr="00D50E91">
        <w:t>Az ipari rendeltetések, technológiák sokfélesége, összetettsége miatt minden rendeltetésre kiterjedő szabályozást nem lehet kidolgozni. A jelen kiegészítések alapelvszerű követelményt támasztanak, melyek elősegítik a tervezési folyamatot.</w:t>
      </w:r>
    </w:p>
    <w:p w:rsidR="0093536B" w:rsidRPr="00D50E91" w:rsidRDefault="0093536B" w:rsidP="0093536B">
      <w:pPr>
        <w:jc w:val="both"/>
      </w:pPr>
    </w:p>
    <w:p w:rsidR="0093536B" w:rsidRPr="00D50E91" w:rsidRDefault="0093536B" w:rsidP="0093536B">
      <w:pPr>
        <w:jc w:val="center"/>
        <w:rPr>
          <w:b/>
        </w:rPr>
      </w:pPr>
      <w:r w:rsidRPr="00D50E91">
        <w:rPr>
          <w:b/>
        </w:rPr>
        <w:t>3</w:t>
      </w:r>
      <w:r w:rsidR="000470E7" w:rsidRPr="00D50E91">
        <w:rPr>
          <w:b/>
        </w:rPr>
        <w:t>9</w:t>
      </w:r>
      <w:r w:rsidR="003528A8">
        <w:rPr>
          <w:b/>
        </w:rPr>
        <w:t>-</w:t>
      </w:r>
      <w:r w:rsidRPr="00D50E91">
        <w:rPr>
          <w:b/>
        </w:rPr>
        <w:t>4</w:t>
      </w:r>
      <w:r w:rsidR="000470E7" w:rsidRPr="00D50E91">
        <w:rPr>
          <w:b/>
        </w:rPr>
        <w:t>7</w:t>
      </w:r>
      <w:r w:rsidRPr="00D50E91">
        <w:rPr>
          <w:b/>
        </w:rPr>
        <w:t>. §</w:t>
      </w:r>
      <w:r w:rsidR="003528A8">
        <w:rPr>
          <w:b/>
        </w:rPr>
        <w:t>-</w:t>
      </w:r>
      <w:r w:rsidRPr="00D50E91">
        <w:rPr>
          <w:b/>
        </w:rPr>
        <w:t>hoz</w:t>
      </w:r>
    </w:p>
    <w:p w:rsidR="0093536B" w:rsidRPr="00D50E91" w:rsidRDefault="0093536B" w:rsidP="0093536B">
      <w:pPr>
        <w:jc w:val="center"/>
        <w:rPr>
          <w:b/>
        </w:rPr>
      </w:pPr>
    </w:p>
    <w:p w:rsidR="0093536B" w:rsidRPr="00D50E91" w:rsidRDefault="0093536B" w:rsidP="0093536B">
      <w:pPr>
        <w:jc w:val="both"/>
      </w:pPr>
      <w:r w:rsidRPr="00D50E91">
        <w:t>Jogtechnikai jellegű pontosításokat, enyhítéseket és az értelmezést elősegítő módosításokat tartalmaz.</w:t>
      </w:r>
    </w:p>
    <w:p w:rsidR="0093536B" w:rsidRPr="00D50E91" w:rsidRDefault="0093536B" w:rsidP="0093536B">
      <w:pPr>
        <w:jc w:val="both"/>
      </w:pPr>
    </w:p>
    <w:p w:rsidR="0093536B" w:rsidRPr="00D50E91" w:rsidRDefault="0093536B" w:rsidP="0093536B">
      <w:pPr>
        <w:jc w:val="center"/>
      </w:pPr>
      <w:r w:rsidRPr="00D50E91">
        <w:rPr>
          <w:b/>
        </w:rPr>
        <w:t>4</w:t>
      </w:r>
      <w:r w:rsidR="000470E7" w:rsidRPr="00D50E91">
        <w:rPr>
          <w:b/>
        </w:rPr>
        <w:t>8</w:t>
      </w:r>
      <w:r w:rsidR="003528A8">
        <w:rPr>
          <w:b/>
        </w:rPr>
        <w:t>-</w:t>
      </w:r>
      <w:r w:rsidRPr="00D50E91">
        <w:rPr>
          <w:b/>
        </w:rPr>
        <w:t>5</w:t>
      </w:r>
      <w:r w:rsidR="000666EA" w:rsidRPr="00D50E91">
        <w:rPr>
          <w:b/>
        </w:rPr>
        <w:t>6</w:t>
      </w:r>
      <w:r w:rsidRPr="00D50E91">
        <w:rPr>
          <w:b/>
        </w:rPr>
        <w:t>. §</w:t>
      </w:r>
      <w:r w:rsidR="003528A8">
        <w:rPr>
          <w:b/>
        </w:rPr>
        <w:t>-</w:t>
      </w:r>
      <w:r w:rsidRPr="00D50E91">
        <w:rPr>
          <w:b/>
        </w:rPr>
        <w:t>hoz</w:t>
      </w:r>
    </w:p>
    <w:p w:rsidR="0093536B" w:rsidRPr="00D50E91" w:rsidRDefault="0093536B" w:rsidP="0093536B">
      <w:pPr>
        <w:jc w:val="both"/>
      </w:pPr>
    </w:p>
    <w:p w:rsidR="0093536B" w:rsidRPr="00D50E91" w:rsidRDefault="0093536B" w:rsidP="0093536B">
      <w:pPr>
        <w:jc w:val="both"/>
      </w:pPr>
      <w:r w:rsidRPr="00D50E91">
        <w:t>A szabadtéri tárolással összefüggő tűzesetek indokolttá teszik az oltóvíz biztosítása vonatkozó követelmény megállapítását. A füstelvezetés működése a gázzal vagy habbal oltó berendezés működési hatékonyságát szüntetné meg, így szükséges a füstelvezetés szabályozása. Jogtechnikai jellegű pontosításokat, enyhítéseket és az értelmezést elősegítő módosításokat tartalmaz.</w:t>
      </w:r>
    </w:p>
    <w:p w:rsidR="0093536B" w:rsidRPr="00D50E91" w:rsidRDefault="0093536B" w:rsidP="0093536B">
      <w:pPr>
        <w:jc w:val="both"/>
      </w:pPr>
    </w:p>
    <w:p w:rsidR="0093536B" w:rsidRPr="00D50E91" w:rsidRDefault="0093536B" w:rsidP="0093536B">
      <w:pPr>
        <w:jc w:val="center"/>
        <w:rPr>
          <w:b/>
        </w:rPr>
      </w:pPr>
      <w:r w:rsidRPr="00D50E91">
        <w:rPr>
          <w:b/>
        </w:rPr>
        <w:t>5</w:t>
      </w:r>
      <w:r w:rsidR="000666EA" w:rsidRPr="00D50E91">
        <w:rPr>
          <w:b/>
        </w:rPr>
        <w:t>7</w:t>
      </w:r>
      <w:r w:rsidRPr="00D50E91">
        <w:rPr>
          <w:b/>
        </w:rPr>
        <w:t>. §</w:t>
      </w:r>
      <w:r w:rsidR="003528A8">
        <w:rPr>
          <w:b/>
        </w:rPr>
        <w:t>-</w:t>
      </w:r>
      <w:r w:rsidRPr="00D50E91">
        <w:rPr>
          <w:b/>
        </w:rPr>
        <w:t>hoz</w:t>
      </w:r>
    </w:p>
    <w:p w:rsidR="0093536B" w:rsidRPr="00D50E91" w:rsidRDefault="0093536B" w:rsidP="0093536B">
      <w:pPr>
        <w:jc w:val="center"/>
        <w:rPr>
          <w:b/>
        </w:rPr>
      </w:pPr>
    </w:p>
    <w:p w:rsidR="0093536B" w:rsidRPr="00D50E91" w:rsidRDefault="0093536B" w:rsidP="0093536B">
      <w:pPr>
        <w:jc w:val="both"/>
      </w:pPr>
      <w:r w:rsidRPr="00D50E91">
        <w:t>A kiegészítés segítséget nyújt arra az esetre, ha a hő</w:t>
      </w:r>
      <w:r w:rsidR="003528A8">
        <w:t>-</w:t>
      </w:r>
      <w:r w:rsidRPr="00D50E91">
        <w:t xml:space="preserve"> és füstelvezetés és légpótlás tervezése számítással történik. </w:t>
      </w:r>
    </w:p>
    <w:p w:rsidR="0093536B" w:rsidRPr="00D50E91" w:rsidRDefault="0093536B" w:rsidP="0093536B">
      <w:pPr>
        <w:jc w:val="both"/>
      </w:pPr>
    </w:p>
    <w:p w:rsidR="0093536B" w:rsidRPr="00D50E91" w:rsidRDefault="0093536B" w:rsidP="0093536B">
      <w:pPr>
        <w:jc w:val="center"/>
        <w:rPr>
          <w:b/>
        </w:rPr>
      </w:pPr>
      <w:r w:rsidRPr="00D50E91">
        <w:rPr>
          <w:b/>
        </w:rPr>
        <w:t>5</w:t>
      </w:r>
      <w:r w:rsidR="000666EA" w:rsidRPr="00D50E91">
        <w:rPr>
          <w:b/>
        </w:rPr>
        <w:t>8</w:t>
      </w:r>
      <w:r w:rsidRPr="00D50E91">
        <w:rPr>
          <w:b/>
        </w:rPr>
        <w:t>. §</w:t>
      </w:r>
      <w:r w:rsidR="003528A8">
        <w:rPr>
          <w:b/>
        </w:rPr>
        <w:t>-</w:t>
      </w:r>
      <w:r w:rsidRPr="00D50E91">
        <w:rPr>
          <w:b/>
        </w:rPr>
        <w:t>hoz</w:t>
      </w:r>
    </w:p>
    <w:p w:rsidR="0093536B" w:rsidRPr="00D50E91" w:rsidRDefault="0093536B" w:rsidP="0093536B">
      <w:pPr>
        <w:jc w:val="center"/>
      </w:pPr>
    </w:p>
    <w:p w:rsidR="0093536B" w:rsidRPr="00D50E91" w:rsidRDefault="0093536B" w:rsidP="0093536B">
      <w:pPr>
        <w:tabs>
          <w:tab w:val="left" w:pos="4170"/>
        </w:tabs>
        <w:jc w:val="both"/>
      </w:pPr>
      <w:r w:rsidRPr="00D50E91">
        <w:t>Technikai jellegű pontosítást tartalmaz.</w:t>
      </w:r>
      <w:r w:rsidRPr="00D50E91">
        <w:tab/>
      </w:r>
    </w:p>
    <w:p w:rsidR="0093536B" w:rsidRPr="00D50E91" w:rsidRDefault="0093536B" w:rsidP="0093536B">
      <w:pPr>
        <w:jc w:val="both"/>
      </w:pPr>
    </w:p>
    <w:p w:rsidR="0093536B" w:rsidRPr="00D50E91" w:rsidRDefault="000666EA" w:rsidP="000470E7">
      <w:pPr>
        <w:jc w:val="center"/>
        <w:rPr>
          <w:b/>
          <w:lang w:eastAsia="en-US"/>
        </w:rPr>
      </w:pPr>
      <w:r w:rsidRPr="00D50E91">
        <w:rPr>
          <w:b/>
          <w:lang w:eastAsia="en-US"/>
        </w:rPr>
        <w:t>59</w:t>
      </w:r>
      <w:r w:rsidR="000470E7" w:rsidRPr="00D50E91">
        <w:rPr>
          <w:b/>
          <w:lang w:eastAsia="en-US"/>
        </w:rPr>
        <w:t>. §</w:t>
      </w:r>
      <w:r w:rsidR="003528A8">
        <w:rPr>
          <w:b/>
          <w:lang w:eastAsia="en-US"/>
        </w:rPr>
        <w:t>-</w:t>
      </w:r>
      <w:r w:rsidR="000470E7" w:rsidRPr="00D50E91">
        <w:rPr>
          <w:b/>
          <w:lang w:eastAsia="en-US"/>
        </w:rPr>
        <w:t>hoz</w:t>
      </w:r>
    </w:p>
    <w:p w:rsidR="000470E7" w:rsidRPr="00D50E91" w:rsidRDefault="000470E7" w:rsidP="0093536B">
      <w:pPr>
        <w:rPr>
          <w:lang w:eastAsia="en-US"/>
        </w:rPr>
      </w:pPr>
    </w:p>
    <w:p w:rsidR="0093536B" w:rsidRPr="00D50E91" w:rsidRDefault="0093536B" w:rsidP="0093536B">
      <w:pPr>
        <w:rPr>
          <w:lang w:eastAsia="en-US"/>
        </w:rPr>
      </w:pPr>
      <w:r w:rsidRPr="00D50E91">
        <w:lastRenderedPageBreak/>
        <w:t>A módosítás a szabad nyílásra vonatkozó követelményeket ismerteti azzal, hogy megengedi a normatív átfolyási tényező alkalmazását.</w:t>
      </w:r>
    </w:p>
    <w:p w:rsidR="0093536B" w:rsidRPr="00D50E91" w:rsidRDefault="0093536B" w:rsidP="0093536B">
      <w:pPr>
        <w:jc w:val="center"/>
      </w:pPr>
    </w:p>
    <w:p w:rsidR="0093536B" w:rsidRPr="00D50E91" w:rsidRDefault="0093536B" w:rsidP="0093536B">
      <w:pPr>
        <w:jc w:val="center"/>
        <w:rPr>
          <w:b/>
        </w:rPr>
      </w:pPr>
      <w:r w:rsidRPr="00D50E91">
        <w:rPr>
          <w:b/>
        </w:rPr>
        <w:t>6</w:t>
      </w:r>
      <w:r w:rsidR="000666EA" w:rsidRPr="00D50E91">
        <w:rPr>
          <w:b/>
        </w:rPr>
        <w:t>0</w:t>
      </w:r>
      <w:r w:rsidR="003528A8">
        <w:rPr>
          <w:b/>
        </w:rPr>
        <w:t>-</w:t>
      </w:r>
      <w:r w:rsidRPr="00D50E91">
        <w:rPr>
          <w:b/>
        </w:rPr>
        <w:t>6</w:t>
      </w:r>
      <w:r w:rsidR="000666EA" w:rsidRPr="00D50E91">
        <w:rPr>
          <w:b/>
        </w:rPr>
        <w:t>5</w:t>
      </w:r>
      <w:r w:rsidRPr="00D50E91">
        <w:rPr>
          <w:b/>
        </w:rPr>
        <w:t>. §</w:t>
      </w:r>
      <w:r w:rsidR="003528A8">
        <w:rPr>
          <w:b/>
        </w:rPr>
        <w:t>-</w:t>
      </w:r>
      <w:r w:rsidRPr="00D50E91">
        <w:rPr>
          <w:b/>
        </w:rPr>
        <w:t>hoz</w:t>
      </w:r>
    </w:p>
    <w:p w:rsidR="0093536B" w:rsidRPr="00D50E91" w:rsidRDefault="0093536B" w:rsidP="0093536B">
      <w:pPr>
        <w:jc w:val="center"/>
      </w:pPr>
    </w:p>
    <w:p w:rsidR="0093536B" w:rsidRPr="00D50E91" w:rsidRDefault="0093536B" w:rsidP="0093536B">
      <w:pPr>
        <w:jc w:val="both"/>
      </w:pPr>
      <w:r w:rsidRPr="00D50E91">
        <w:t>A módosítás a szabad nyílás alkalmazásának engedélyezése kapcsán felsorolja az alkalmazással összefüggő követelményeket. Egyebekben technikai jellegű pontosításokat, enyhítéseket és az értelmezést elősegítő módosításokat tartalmaz.</w:t>
      </w:r>
    </w:p>
    <w:p w:rsidR="0093536B" w:rsidRPr="00D50E91" w:rsidRDefault="0093536B" w:rsidP="0093536B">
      <w:pPr>
        <w:jc w:val="both"/>
      </w:pPr>
    </w:p>
    <w:p w:rsidR="0093536B" w:rsidRPr="00D50E91" w:rsidRDefault="0093536B" w:rsidP="0093536B">
      <w:pPr>
        <w:jc w:val="center"/>
      </w:pPr>
      <w:r w:rsidRPr="00D50E91">
        <w:rPr>
          <w:b/>
        </w:rPr>
        <w:t>6</w:t>
      </w:r>
      <w:r w:rsidR="000666EA" w:rsidRPr="00D50E91">
        <w:rPr>
          <w:b/>
        </w:rPr>
        <w:t>6</w:t>
      </w:r>
      <w:r w:rsidRPr="00D50E91">
        <w:rPr>
          <w:b/>
        </w:rPr>
        <w:t>. §</w:t>
      </w:r>
      <w:r w:rsidR="003528A8">
        <w:rPr>
          <w:b/>
        </w:rPr>
        <w:t>-</w:t>
      </w:r>
      <w:r w:rsidRPr="00D50E91">
        <w:rPr>
          <w:b/>
        </w:rPr>
        <w:t>hoz</w:t>
      </w:r>
    </w:p>
    <w:p w:rsidR="0093536B" w:rsidRPr="00D50E91" w:rsidRDefault="0093536B" w:rsidP="0093536B">
      <w:pPr>
        <w:jc w:val="both"/>
      </w:pPr>
    </w:p>
    <w:p w:rsidR="0093536B" w:rsidRPr="00D50E91" w:rsidRDefault="0093536B" w:rsidP="0093536B">
      <w:pPr>
        <w:jc w:val="both"/>
      </w:pPr>
      <w:r w:rsidRPr="00D50E91">
        <w:t>A hasadó, hasadó</w:t>
      </w:r>
      <w:r w:rsidR="003528A8">
        <w:t>-</w:t>
      </w:r>
      <w:r w:rsidRPr="00D50E91">
        <w:t>nyíló felületek a robbanás elleni védelem egyik megoldását képezik. A cél az eddig nem, vagy nem kellően részletezett megoldások ismertetése a jogalkalmazás könnyítése érdekében.</w:t>
      </w:r>
    </w:p>
    <w:p w:rsidR="0093536B" w:rsidRPr="00D50E91" w:rsidRDefault="0093536B" w:rsidP="0093536B">
      <w:pPr>
        <w:jc w:val="both"/>
      </w:pPr>
    </w:p>
    <w:p w:rsidR="0093536B" w:rsidRPr="00D50E91" w:rsidRDefault="0093536B" w:rsidP="0093536B">
      <w:pPr>
        <w:jc w:val="center"/>
        <w:rPr>
          <w:b/>
        </w:rPr>
      </w:pPr>
      <w:r w:rsidRPr="00D50E91">
        <w:rPr>
          <w:b/>
        </w:rPr>
        <w:t>6</w:t>
      </w:r>
      <w:r w:rsidR="000666EA" w:rsidRPr="00D50E91">
        <w:rPr>
          <w:b/>
        </w:rPr>
        <w:t>7</w:t>
      </w:r>
      <w:r w:rsidRPr="00D50E91">
        <w:rPr>
          <w:b/>
        </w:rPr>
        <w:t>. §</w:t>
      </w:r>
      <w:r w:rsidR="003528A8">
        <w:rPr>
          <w:b/>
        </w:rPr>
        <w:t>-</w:t>
      </w:r>
      <w:r w:rsidRPr="00D50E91">
        <w:rPr>
          <w:b/>
        </w:rPr>
        <w:t>hoz</w:t>
      </w:r>
    </w:p>
    <w:p w:rsidR="0093536B" w:rsidRPr="00D50E91" w:rsidRDefault="0093536B" w:rsidP="0093536B">
      <w:pPr>
        <w:jc w:val="center"/>
        <w:rPr>
          <w:b/>
        </w:rPr>
      </w:pPr>
    </w:p>
    <w:p w:rsidR="0093536B" w:rsidRPr="00D50E91" w:rsidRDefault="0093536B" w:rsidP="0093536B">
      <w:pPr>
        <w:jc w:val="both"/>
      </w:pPr>
      <w:r w:rsidRPr="00D50E91">
        <w:t>Technikai jellegű pontosítást tartalmaz.</w:t>
      </w:r>
    </w:p>
    <w:p w:rsidR="0093536B" w:rsidRPr="00D50E91" w:rsidRDefault="0093536B" w:rsidP="0093536B">
      <w:pPr>
        <w:jc w:val="both"/>
      </w:pPr>
    </w:p>
    <w:p w:rsidR="0093536B" w:rsidRPr="00D50E91" w:rsidRDefault="0093536B" w:rsidP="0093536B">
      <w:pPr>
        <w:jc w:val="center"/>
        <w:rPr>
          <w:b/>
        </w:rPr>
      </w:pPr>
      <w:r w:rsidRPr="00D50E91">
        <w:rPr>
          <w:b/>
        </w:rPr>
        <w:t>6</w:t>
      </w:r>
      <w:r w:rsidR="000666EA" w:rsidRPr="00D50E91">
        <w:rPr>
          <w:b/>
        </w:rPr>
        <w:t>8</w:t>
      </w:r>
      <w:r w:rsidRPr="00D50E91">
        <w:rPr>
          <w:b/>
        </w:rPr>
        <w:t>. §</w:t>
      </w:r>
      <w:r w:rsidR="003528A8">
        <w:rPr>
          <w:b/>
        </w:rPr>
        <w:t>-</w:t>
      </w:r>
      <w:r w:rsidRPr="00D50E91">
        <w:rPr>
          <w:b/>
        </w:rPr>
        <w:t>hoz</w:t>
      </w:r>
    </w:p>
    <w:p w:rsidR="0093536B" w:rsidRPr="00D50E91" w:rsidRDefault="0093536B" w:rsidP="0093536B">
      <w:pPr>
        <w:jc w:val="center"/>
        <w:rPr>
          <w:b/>
        </w:rPr>
      </w:pPr>
    </w:p>
    <w:p w:rsidR="0093536B" w:rsidRPr="00D50E91" w:rsidRDefault="0093536B" w:rsidP="0093536B">
      <w:pPr>
        <w:jc w:val="both"/>
        <w:rPr>
          <w:color w:val="000000"/>
        </w:rPr>
      </w:pPr>
      <w:r w:rsidRPr="00D50E91">
        <w:rPr>
          <w:bCs/>
        </w:rPr>
        <w:t>Ikerházak, sorházak esetében</w:t>
      </w:r>
      <w:r w:rsidRPr="00D50E91">
        <w:rPr>
          <w:color w:val="000000"/>
        </w:rPr>
        <w:t>, amikor az épületben több tulajdonos is van, akár eltérő rendeltetéssel (lakó, kereskedelmi és ipari rendeltetés vegyesen) és ezek villamos betáplálása több csatlakozóvezetékkel történik, megengedett a tulajdoni egységenként történő egyedi tűzeseti lekapcsolás is.</w:t>
      </w:r>
    </w:p>
    <w:p w:rsidR="0093536B" w:rsidRPr="00D50E91" w:rsidRDefault="0093536B" w:rsidP="0093536B">
      <w:pPr>
        <w:jc w:val="both"/>
        <w:rPr>
          <w:color w:val="000000"/>
        </w:rPr>
      </w:pPr>
    </w:p>
    <w:p w:rsidR="0093536B" w:rsidRPr="00D50E91" w:rsidRDefault="000666EA" w:rsidP="0093536B">
      <w:pPr>
        <w:jc w:val="center"/>
        <w:rPr>
          <w:b/>
        </w:rPr>
      </w:pPr>
      <w:r w:rsidRPr="00D50E91">
        <w:rPr>
          <w:b/>
        </w:rPr>
        <w:t>69</w:t>
      </w:r>
      <w:r w:rsidR="0093536B" w:rsidRPr="00D50E91">
        <w:rPr>
          <w:b/>
        </w:rPr>
        <w:t>. §</w:t>
      </w:r>
      <w:r w:rsidR="003528A8">
        <w:rPr>
          <w:b/>
        </w:rPr>
        <w:t>-</w:t>
      </w:r>
      <w:r w:rsidR="0093536B" w:rsidRPr="00D50E91">
        <w:rPr>
          <w:b/>
        </w:rPr>
        <w:t>hoz</w:t>
      </w:r>
    </w:p>
    <w:p w:rsidR="0093536B" w:rsidRPr="00D50E91" w:rsidRDefault="0093536B" w:rsidP="0093536B">
      <w:pPr>
        <w:jc w:val="center"/>
        <w:rPr>
          <w:b/>
        </w:rPr>
      </w:pPr>
    </w:p>
    <w:p w:rsidR="0093536B" w:rsidRPr="00D50E91" w:rsidRDefault="0093536B" w:rsidP="0093536B">
      <w:pPr>
        <w:jc w:val="both"/>
        <w:rPr>
          <w:color w:val="000000"/>
        </w:rPr>
      </w:pPr>
      <w:r w:rsidRPr="00D50E91">
        <w:t xml:space="preserve">A füstmentes lépcsőház egy védett tér. A lépcsőház határoló szerkezete biztosítja a tűzhatás elleni védelmet. </w:t>
      </w:r>
      <w:r w:rsidRPr="00D50E91">
        <w:rPr>
          <w:color w:val="000000"/>
        </w:rPr>
        <w:t>A tűzeseti fogyasztók jelentős részének (pl. RWA kupoláknak, ablakoknak és kapuknak) a villamos működtető szerkezete nem tűzálló kivitelű. A széles körben alkalmazott építési technológiák esetén ezen tűzeseti fogyasztók rögzítése jellemzően olyan építményszerkezetekhez történik (pl. trapézlemez), amelyek tűzállósági teljesítménye kisebb, mint maga a tűzeseti fogyasztó működésére előírt követelmény. A biztonság szintjét a javasolt módosítás ezért nem csökkenti, viszont egyértelműsíteni kívánja, hogy hol húzódik a határ a tűzeseti fogyasztóhoz közvetlenül csatlakozó, és a „távolabbi” vezetékszakasz között. Ezt a határt – a szokásosan alkalmazott építészeti kialakítási módokat, a biztonsági világítási rendszereknél alkalmazott értékeket és egyéb megfontolásokat figyelembe véve – kb. 15 m</w:t>
      </w:r>
      <w:r w:rsidR="003528A8">
        <w:rPr>
          <w:color w:val="000000"/>
        </w:rPr>
        <w:t>-</w:t>
      </w:r>
      <w:r w:rsidRPr="00D50E91">
        <w:rPr>
          <w:color w:val="000000"/>
        </w:rPr>
        <w:t>ben célszerű megállapítani.</w:t>
      </w:r>
    </w:p>
    <w:p w:rsidR="0093536B" w:rsidRPr="00D50E91" w:rsidRDefault="0093536B" w:rsidP="0093536B">
      <w:pPr>
        <w:jc w:val="both"/>
        <w:rPr>
          <w:color w:val="000000"/>
        </w:rPr>
      </w:pPr>
    </w:p>
    <w:p w:rsidR="0093536B" w:rsidRPr="00D50E91" w:rsidRDefault="0093536B" w:rsidP="0093536B">
      <w:pPr>
        <w:jc w:val="center"/>
        <w:rPr>
          <w:b/>
        </w:rPr>
      </w:pPr>
      <w:r w:rsidRPr="00D50E91">
        <w:rPr>
          <w:b/>
        </w:rPr>
        <w:t>7</w:t>
      </w:r>
      <w:r w:rsidR="000666EA" w:rsidRPr="00D50E91">
        <w:rPr>
          <w:b/>
        </w:rPr>
        <w:t>0</w:t>
      </w:r>
      <w:r w:rsidR="003528A8">
        <w:rPr>
          <w:b/>
        </w:rPr>
        <w:t>-</w:t>
      </w:r>
      <w:r w:rsidRPr="00D50E91">
        <w:rPr>
          <w:b/>
        </w:rPr>
        <w:t>7</w:t>
      </w:r>
      <w:r w:rsidR="000666EA" w:rsidRPr="00D50E91">
        <w:rPr>
          <w:b/>
        </w:rPr>
        <w:t>5</w:t>
      </w:r>
      <w:r w:rsidRPr="00D50E91">
        <w:rPr>
          <w:b/>
        </w:rPr>
        <w:t>. §</w:t>
      </w:r>
      <w:r w:rsidR="003528A8">
        <w:rPr>
          <w:b/>
        </w:rPr>
        <w:t>-</w:t>
      </w:r>
      <w:r w:rsidRPr="00D50E91">
        <w:rPr>
          <w:b/>
        </w:rPr>
        <w:t>hoz</w:t>
      </w:r>
    </w:p>
    <w:p w:rsidR="0093536B" w:rsidRPr="00D50E91" w:rsidRDefault="0093536B" w:rsidP="0093536B">
      <w:pPr>
        <w:jc w:val="center"/>
        <w:rPr>
          <w:b/>
        </w:rPr>
      </w:pPr>
    </w:p>
    <w:p w:rsidR="0093536B" w:rsidRPr="00D50E91" w:rsidRDefault="0093536B" w:rsidP="0093536B">
      <w:pPr>
        <w:jc w:val="both"/>
      </w:pPr>
      <w:r w:rsidRPr="00D50E91">
        <w:t>Jogtechnikai jellegű pontosításokat, enyhítéseket és az értelmezést elősegítő módosításokat tartalmaz.</w:t>
      </w:r>
    </w:p>
    <w:p w:rsidR="0093536B" w:rsidRPr="00D50E91" w:rsidRDefault="0093536B" w:rsidP="0093536B">
      <w:pPr>
        <w:jc w:val="both"/>
      </w:pPr>
      <w:r w:rsidRPr="00D50E91">
        <w:rPr>
          <w:color w:val="000000"/>
        </w:rPr>
        <w:t xml:space="preserve">Az új bekezdés azokat a kivételeket határozza meg, ahol az elektrosztatikai kockázat meghatározása nélkül is kimondható, hogy megfelel az elektrosztatikus feltöltődés elleni védelem. </w:t>
      </w:r>
      <w:r w:rsidRPr="00D50E91">
        <w:t>Menekülési útirány jelző rendszert ott célszerű kialakítani, ahol egy tűzeset (füst keletkezése) során hosszú ideig eltarthat az építmény elhagyása, így például közúti alagutaknál, metró területén. Ezen kialakítások megfelelőségét célszerű a költséghatékonyság érdekében egyedileg egyeztetni és tervezni. Az épületben tartózkodó személyek számára a hő</w:t>
      </w:r>
      <w:r w:rsidR="003528A8">
        <w:t>-</w:t>
      </w:r>
      <w:r w:rsidRPr="00D50E91">
        <w:t xml:space="preserve"> és füstelvezető kézi működtető szerkezetének megjelölése a használhatóság érdekében szükséges.</w:t>
      </w:r>
    </w:p>
    <w:p w:rsidR="0093536B" w:rsidRPr="00D50E91" w:rsidRDefault="0093536B" w:rsidP="0093536B">
      <w:pPr>
        <w:jc w:val="both"/>
      </w:pPr>
    </w:p>
    <w:p w:rsidR="0093536B" w:rsidRPr="00D50E91" w:rsidRDefault="0093536B" w:rsidP="0093536B">
      <w:pPr>
        <w:jc w:val="center"/>
        <w:rPr>
          <w:b/>
        </w:rPr>
      </w:pPr>
      <w:r w:rsidRPr="00D50E91">
        <w:rPr>
          <w:b/>
        </w:rPr>
        <w:t>7</w:t>
      </w:r>
      <w:r w:rsidR="000666EA" w:rsidRPr="00D50E91">
        <w:rPr>
          <w:b/>
        </w:rPr>
        <w:t>6</w:t>
      </w:r>
      <w:r w:rsidRPr="00D50E91">
        <w:rPr>
          <w:b/>
        </w:rPr>
        <w:t>. §</w:t>
      </w:r>
      <w:r w:rsidR="003528A8">
        <w:rPr>
          <w:b/>
        </w:rPr>
        <w:t>-</w:t>
      </w:r>
      <w:r w:rsidRPr="00D50E91">
        <w:rPr>
          <w:b/>
        </w:rPr>
        <w:t>hoz</w:t>
      </w:r>
    </w:p>
    <w:p w:rsidR="0093536B" w:rsidRPr="00D50E91" w:rsidRDefault="0093536B" w:rsidP="0093536B">
      <w:pPr>
        <w:jc w:val="center"/>
        <w:rPr>
          <w:b/>
        </w:rPr>
      </w:pPr>
    </w:p>
    <w:p w:rsidR="0093536B" w:rsidRPr="00D50E91" w:rsidRDefault="0093536B" w:rsidP="0093536B">
      <w:pPr>
        <w:jc w:val="both"/>
      </w:pPr>
      <w:r w:rsidRPr="00D50E91">
        <w:t>Jelenleg azon kórházépületekben, ahol fekvőbeteg ellátás van kötelező a tűzátjelzés biztosítása. A benn tartózkodók biztonsága érdekében indokolt, ezen kötelezettséget a menekülésben korlátozott személyek speciális intézményeire is kiterjeszteni, hiszen ezen esetekben sem engedhető meg késedelem, figyelemmel a tűzoltói beavatkozás várhatóan nagy erő</w:t>
      </w:r>
      <w:r w:rsidR="003528A8">
        <w:t>-</w:t>
      </w:r>
      <w:r w:rsidRPr="00D50E91">
        <w:t xml:space="preserve"> és eszközigényére, a mentés végrehajtásának körülményeire és idejére.</w:t>
      </w:r>
    </w:p>
    <w:p w:rsidR="0093536B" w:rsidRPr="00D50E91" w:rsidRDefault="0093536B" w:rsidP="0093536B">
      <w:pPr>
        <w:jc w:val="both"/>
      </w:pPr>
    </w:p>
    <w:p w:rsidR="0093536B" w:rsidRPr="00D50E91" w:rsidRDefault="0093536B" w:rsidP="0093536B">
      <w:pPr>
        <w:jc w:val="center"/>
        <w:rPr>
          <w:b/>
        </w:rPr>
      </w:pPr>
      <w:r w:rsidRPr="00D50E91">
        <w:rPr>
          <w:b/>
        </w:rPr>
        <w:t>7</w:t>
      </w:r>
      <w:r w:rsidR="000666EA" w:rsidRPr="00D50E91">
        <w:rPr>
          <w:b/>
        </w:rPr>
        <w:t>7</w:t>
      </w:r>
      <w:r w:rsidR="003528A8">
        <w:rPr>
          <w:b/>
        </w:rPr>
        <w:t>-</w:t>
      </w:r>
      <w:r w:rsidRPr="00D50E91">
        <w:rPr>
          <w:b/>
        </w:rPr>
        <w:t>8</w:t>
      </w:r>
      <w:r w:rsidR="000666EA" w:rsidRPr="00D50E91">
        <w:rPr>
          <w:b/>
        </w:rPr>
        <w:t>1</w:t>
      </w:r>
      <w:r w:rsidRPr="00D50E91">
        <w:rPr>
          <w:b/>
        </w:rPr>
        <w:t>. §</w:t>
      </w:r>
      <w:r w:rsidR="003528A8">
        <w:rPr>
          <w:b/>
        </w:rPr>
        <w:t>-</w:t>
      </w:r>
      <w:r w:rsidRPr="00D50E91">
        <w:rPr>
          <w:b/>
        </w:rPr>
        <w:t>hoz</w:t>
      </w:r>
    </w:p>
    <w:p w:rsidR="0093536B" w:rsidRPr="00D50E91" w:rsidRDefault="0093536B" w:rsidP="0093536B">
      <w:pPr>
        <w:jc w:val="center"/>
        <w:rPr>
          <w:b/>
        </w:rPr>
      </w:pPr>
    </w:p>
    <w:p w:rsidR="0093536B" w:rsidRPr="00D50E91" w:rsidRDefault="0093536B" w:rsidP="0093536B">
      <w:pPr>
        <w:jc w:val="both"/>
      </w:pPr>
      <w:r w:rsidRPr="00D50E91">
        <w:t>Jogtechnikai jellegű pontosításokat, enyhítéseket és az értelmezést elősegítő módosításokat tartalmaz.</w:t>
      </w:r>
    </w:p>
    <w:p w:rsidR="0093536B" w:rsidRPr="00D50E91" w:rsidRDefault="0093536B" w:rsidP="0093536B">
      <w:pPr>
        <w:jc w:val="both"/>
      </w:pPr>
    </w:p>
    <w:p w:rsidR="0093536B" w:rsidRPr="00D50E91" w:rsidRDefault="0093536B" w:rsidP="0093536B">
      <w:pPr>
        <w:jc w:val="center"/>
        <w:rPr>
          <w:b/>
        </w:rPr>
      </w:pPr>
      <w:r w:rsidRPr="00D50E91">
        <w:rPr>
          <w:b/>
        </w:rPr>
        <w:t>8</w:t>
      </w:r>
      <w:r w:rsidR="000666EA" w:rsidRPr="00D50E91">
        <w:rPr>
          <w:b/>
        </w:rPr>
        <w:t>2</w:t>
      </w:r>
      <w:r w:rsidRPr="00D50E91">
        <w:rPr>
          <w:b/>
        </w:rPr>
        <w:t>. §</w:t>
      </w:r>
      <w:r w:rsidR="003528A8">
        <w:rPr>
          <w:b/>
        </w:rPr>
        <w:t>-</w:t>
      </w:r>
      <w:r w:rsidRPr="00D50E91">
        <w:rPr>
          <w:b/>
        </w:rPr>
        <w:t>hoz</w:t>
      </w:r>
    </w:p>
    <w:p w:rsidR="0093536B" w:rsidRPr="00D50E91" w:rsidRDefault="0093536B" w:rsidP="0093536B">
      <w:pPr>
        <w:jc w:val="center"/>
        <w:rPr>
          <w:b/>
        </w:rPr>
      </w:pPr>
    </w:p>
    <w:p w:rsidR="0093536B" w:rsidRPr="00D50E91" w:rsidRDefault="0093536B" w:rsidP="0093536B">
      <w:pPr>
        <w:jc w:val="both"/>
      </w:pPr>
      <w:r w:rsidRPr="00D50E91">
        <w:t>A technikai fejlődés okán, gyakorlatilag már csak címezhető érzékelőket alkalmaznak, emiatt nincs indoka az alkalmazását szűkítésének.</w:t>
      </w:r>
    </w:p>
    <w:p w:rsidR="0093536B" w:rsidRPr="00D50E91" w:rsidRDefault="0093536B" w:rsidP="0093536B">
      <w:pPr>
        <w:jc w:val="both"/>
      </w:pPr>
    </w:p>
    <w:p w:rsidR="0093536B" w:rsidRPr="00D50E91" w:rsidRDefault="0093536B" w:rsidP="0093536B">
      <w:pPr>
        <w:jc w:val="center"/>
        <w:rPr>
          <w:b/>
        </w:rPr>
      </w:pPr>
      <w:r w:rsidRPr="00D50E91">
        <w:rPr>
          <w:b/>
        </w:rPr>
        <w:t>8</w:t>
      </w:r>
      <w:r w:rsidR="000666EA" w:rsidRPr="00D50E91">
        <w:rPr>
          <w:b/>
        </w:rPr>
        <w:t>3</w:t>
      </w:r>
      <w:r w:rsidRPr="00D50E91">
        <w:rPr>
          <w:b/>
        </w:rPr>
        <w:t>. §</w:t>
      </w:r>
      <w:r w:rsidR="003528A8">
        <w:rPr>
          <w:b/>
        </w:rPr>
        <w:t>-</w:t>
      </w:r>
      <w:r w:rsidRPr="00D50E91">
        <w:rPr>
          <w:b/>
        </w:rPr>
        <w:t>hoz</w:t>
      </w:r>
    </w:p>
    <w:p w:rsidR="0093536B" w:rsidRPr="00D50E91" w:rsidRDefault="0093536B" w:rsidP="0093536B">
      <w:pPr>
        <w:jc w:val="center"/>
        <w:rPr>
          <w:b/>
        </w:rPr>
      </w:pPr>
    </w:p>
    <w:p w:rsidR="0093536B" w:rsidRPr="00D50E91" w:rsidRDefault="0093536B" w:rsidP="0093536B">
      <w:pPr>
        <w:jc w:val="both"/>
      </w:pPr>
      <w:r w:rsidRPr="00D50E91">
        <w:t>A gyakorlatban alkalmazott gázmennyiségek figyelembe vételével történik a szabályozás módosítása, amely két alkategóriára bontja a jelenlegi „1” kategóriát. Így lehetőség nyílik a védőtávolság csökkentésére kisebb gázmennyiség esetén.</w:t>
      </w:r>
    </w:p>
    <w:p w:rsidR="0093536B" w:rsidRPr="00D50E91" w:rsidRDefault="0093536B" w:rsidP="0093536B">
      <w:pPr>
        <w:jc w:val="both"/>
      </w:pPr>
    </w:p>
    <w:p w:rsidR="0093536B" w:rsidRPr="00D50E91" w:rsidRDefault="0093536B" w:rsidP="0093536B">
      <w:pPr>
        <w:jc w:val="center"/>
      </w:pPr>
      <w:r w:rsidRPr="00D50E91">
        <w:rPr>
          <w:b/>
        </w:rPr>
        <w:t>8</w:t>
      </w:r>
      <w:r w:rsidR="000666EA" w:rsidRPr="00D50E91">
        <w:rPr>
          <w:b/>
        </w:rPr>
        <w:t>4</w:t>
      </w:r>
      <w:r w:rsidR="003528A8">
        <w:rPr>
          <w:b/>
        </w:rPr>
        <w:t>-</w:t>
      </w:r>
      <w:r w:rsidR="000666EA" w:rsidRPr="00D50E91">
        <w:rPr>
          <w:b/>
        </w:rPr>
        <w:t>89</w:t>
      </w:r>
      <w:r w:rsidRPr="00D50E91">
        <w:rPr>
          <w:b/>
        </w:rPr>
        <w:t>. §</w:t>
      </w:r>
      <w:r w:rsidR="003528A8">
        <w:rPr>
          <w:b/>
        </w:rPr>
        <w:t>-</w:t>
      </w:r>
      <w:r w:rsidRPr="00D50E91">
        <w:rPr>
          <w:b/>
        </w:rPr>
        <w:t>hoz</w:t>
      </w:r>
    </w:p>
    <w:p w:rsidR="0093536B" w:rsidRPr="00D50E91" w:rsidRDefault="0093536B" w:rsidP="0093536B">
      <w:pPr>
        <w:jc w:val="center"/>
      </w:pPr>
    </w:p>
    <w:p w:rsidR="0093536B" w:rsidRPr="00D50E91" w:rsidRDefault="0093536B" w:rsidP="0093536B">
      <w:pPr>
        <w:jc w:val="both"/>
      </w:pPr>
      <w:r w:rsidRPr="00D50E91">
        <w:t>Jogtechnikai jellegű pontosításokat, és az értelmezést elősegítő módosításokat tartalmaz. A robbanásveszélyes területek vonatkozásában ez idáig nem jelentek meg azon az előírások, melyek elengedhetetlenül szükségesek a fokozottan veszélyes területek vonatkozásában a veszélyeztető tényezők kizárására.</w:t>
      </w:r>
    </w:p>
    <w:p w:rsidR="0093536B" w:rsidRPr="00D50E91" w:rsidRDefault="0093536B" w:rsidP="0093536B">
      <w:pPr>
        <w:jc w:val="both"/>
      </w:pPr>
    </w:p>
    <w:p w:rsidR="0093536B" w:rsidRPr="00D50E91" w:rsidRDefault="0093536B" w:rsidP="0093536B">
      <w:pPr>
        <w:jc w:val="center"/>
        <w:rPr>
          <w:b/>
        </w:rPr>
      </w:pPr>
      <w:r w:rsidRPr="00D50E91">
        <w:rPr>
          <w:b/>
        </w:rPr>
        <w:t>9</w:t>
      </w:r>
      <w:r w:rsidR="000666EA" w:rsidRPr="00D50E91">
        <w:rPr>
          <w:b/>
        </w:rPr>
        <w:t>0</w:t>
      </w:r>
      <w:r w:rsidR="003528A8">
        <w:rPr>
          <w:b/>
        </w:rPr>
        <w:t>-</w:t>
      </w:r>
      <w:r w:rsidRPr="00D50E91">
        <w:rPr>
          <w:b/>
        </w:rPr>
        <w:t>9</w:t>
      </w:r>
      <w:r w:rsidR="000666EA" w:rsidRPr="00D50E91">
        <w:rPr>
          <w:b/>
        </w:rPr>
        <w:t>1</w:t>
      </w:r>
      <w:r w:rsidRPr="00D50E91">
        <w:rPr>
          <w:b/>
        </w:rPr>
        <w:t>. §</w:t>
      </w:r>
      <w:r w:rsidR="003528A8">
        <w:rPr>
          <w:b/>
        </w:rPr>
        <w:t>-</w:t>
      </w:r>
      <w:r w:rsidRPr="00D50E91">
        <w:rPr>
          <w:b/>
        </w:rPr>
        <w:t>hoz</w:t>
      </w:r>
    </w:p>
    <w:p w:rsidR="0093536B" w:rsidRPr="00D50E91" w:rsidRDefault="0093536B" w:rsidP="0093536B">
      <w:pPr>
        <w:jc w:val="center"/>
        <w:rPr>
          <w:b/>
        </w:rPr>
      </w:pPr>
    </w:p>
    <w:p w:rsidR="0093536B" w:rsidRPr="00D50E91" w:rsidRDefault="0093536B" w:rsidP="0093536B">
      <w:pPr>
        <w:jc w:val="both"/>
      </w:pPr>
      <w:r w:rsidRPr="00D50E91">
        <w:t>A módosítást a tűzveszélyességi osztályba soroláshoz történő igazodás indokolja.</w:t>
      </w:r>
    </w:p>
    <w:p w:rsidR="0093536B" w:rsidRPr="00D50E91" w:rsidRDefault="0093536B" w:rsidP="0093536B">
      <w:pPr>
        <w:jc w:val="both"/>
      </w:pPr>
    </w:p>
    <w:p w:rsidR="0093536B" w:rsidRPr="00D50E91" w:rsidRDefault="0093536B" w:rsidP="0093536B">
      <w:pPr>
        <w:jc w:val="center"/>
        <w:rPr>
          <w:b/>
        </w:rPr>
      </w:pPr>
      <w:r w:rsidRPr="00D50E91">
        <w:rPr>
          <w:b/>
        </w:rPr>
        <w:t>9</w:t>
      </w:r>
      <w:r w:rsidR="000666EA" w:rsidRPr="00D50E91">
        <w:rPr>
          <w:b/>
        </w:rPr>
        <w:t>2</w:t>
      </w:r>
      <w:r w:rsidRPr="00D50E91">
        <w:rPr>
          <w:b/>
        </w:rPr>
        <w:t>. §</w:t>
      </w:r>
      <w:r w:rsidR="003528A8">
        <w:rPr>
          <w:b/>
        </w:rPr>
        <w:t>-</w:t>
      </w:r>
      <w:r w:rsidRPr="00D50E91">
        <w:rPr>
          <w:b/>
        </w:rPr>
        <w:t>hoz</w:t>
      </w:r>
    </w:p>
    <w:p w:rsidR="0093536B" w:rsidRPr="00D50E91" w:rsidRDefault="0093536B" w:rsidP="0093536B">
      <w:pPr>
        <w:jc w:val="center"/>
        <w:rPr>
          <w:b/>
        </w:rPr>
      </w:pPr>
    </w:p>
    <w:p w:rsidR="0093536B" w:rsidRPr="00D50E91" w:rsidRDefault="0093536B" w:rsidP="0093536B">
      <w:pPr>
        <w:jc w:val="both"/>
      </w:pPr>
      <w:r w:rsidRPr="00D50E91">
        <w:t>A módosítás a központi szellőző berendezések vonatkozásában az üzemeltetők részére kedvezőbb felülvizsgálati periódusokat határoz meg.</w:t>
      </w:r>
    </w:p>
    <w:p w:rsidR="0093536B" w:rsidRPr="00D50E91" w:rsidRDefault="0093536B" w:rsidP="0093536B">
      <w:pPr>
        <w:jc w:val="both"/>
      </w:pPr>
    </w:p>
    <w:p w:rsidR="0093536B" w:rsidRPr="00D50E91" w:rsidRDefault="0093536B" w:rsidP="0093536B">
      <w:pPr>
        <w:jc w:val="center"/>
        <w:rPr>
          <w:b/>
        </w:rPr>
      </w:pPr>
      <w:r w:rsidRPr="00D50E91">
        <w:rPr>
          <w:b/>
        </w:rPr>
        <w:t>9</w:t>
      </w:r>
      <w:r w:rsidR="000666EA" w:rsidRPr="00D50E91">
        <w:rPr>
          <w:b/>
        </w:rPr>
        <w:t>3</w:t>
      </w:r>
      <w:r w:rsidRPr="00D50E91">
        <w:rPr>
          <w:b/>
        </w:rPr>
        <w:t>. §</w:t>
      </w:r>
      <w:r w:rsidR="003528A8">
        <w:rPr>
          <w:b/>
        </w:rPr>
        <w:t>-</w:t>
      </w:r>
      <w:r w:rsidRPr="00D50E91">
        <w:rPr>
          <w:b/>
        </w:rPr>
        <w:t>hoz</w:t>
      </w:r>
    </w:p>
    <w:p w:rsidR="0093536B" w:rsidRPr="00D50E91" w:rsidRDefault="0093536B" w:rsidP="0093536B">
      <w:pPr>
        <w:jc w:val="center"/>
        <w:rPr>
          <w:b/>
        </w:rPr>
      </w:pPr>
    </w:p>
    <w:p w:rsidR="0093536B" w:rsidRPr="00D50E91" w:rsidRDefault="0093536B" w:rsidP="0093536B">
      <w:pPr>
        <w:jc w:val="both"/>
      </w:pPr>
      <w:r w:rsidRPr="00D50E91">
        <w:t>A módosítást a tűzveszélyességi osztályba soroláshoz történő igazodás indokolja.</w:t>
      </w:r>
    </w:p>
    <w:p w:rsidR="0093536B" w:rsidRPr="00D50E91" w:rsidRDefault="0093536B" w:rsidP="0093536B">
      <w:pPr>
        <w:jc w:val="both"/>
      </w:pPr>
    </w:p>
    <w:p w:rsidR="0093536B" w:rsidRPr="00D50E91" w:rsidRDefault="0093536B" w:rsidP="0093536B">
      <w:pPr>
        <w:jc w:val="center"/>
        <w:rPr>
          <w:b/>
        </w:rPr>
      </w:pPr>
      <w:r w:rsidRPr="00D50E91">
        <w:rPr>
          <w:b/>
        </w:rPr>
        <w:t>9</w:t>
      </w:r>
      <w:r w:rsidR="000666EA" w:rsidRPr="00D50E91">
        <w:rPr>
          <w:b/>
        </w:rPr>
        <w:t>4</w:t>
      </w:r>
      <w:r w:rsidRPr="00D50E91">
        <w:rPr>
          <w:b/>
        </w:rPr>
        <w:t>. §</w:t>
      </w:r>
      <w:r w:rsidR="003528A8">
        <w:rPr>
          <w:b/>
        </w:rPr>
        <w:t>-</w:t>
      </w:r>
      <w:r w:rsidRPr="00D50E91">
        <w:rPr>
          <w:b/>
        </w:rPr>
        <w:t>hoz</w:t>
      </w:r>
    </w:p>
    <w:p w:rsidR="0093536B" w:rsidRPr="00D50E91" w:rsidRDefault="0093536B" w:rsidP="0093536B">
      <w:pPr>
        <w:jc w:val="center"/>
        <w:rPr>
          <w:b/>
        </w:rPr>
      </w:pPr>
    </w:p>
    <w:p w:rsidR="0093536B" w:rsidRPr="00D50E91" w:rsidRDefault="0093536B" w:rsidP="0093536B">
      <w:pPr>
        <w:jc w:val="both"/>
      </w:pPr>
      <w:r w:rsidRPr="00D50E91">
        <w:t>A tűz</w:t>
      </w:r>
      <w:r w:rsidR="003528A8">
        <w:t>-</w:t>
      </w:r>
      <w:r w:rsidRPr="00D50E91">
        <w:t xml:space="preserve"> és hibaátjelző, mint a biztonságot szavatoló berendezés, továbbá egyéb tűzvédelmi eszközök esetében is elengedhetetlen kötelezettség a folyamatos és állandó működőképes állapot biztosítása.</w:t>
      </w:r>
    </w:p>
    <w:p w:rsidR="0093536B" w:rsidRPr="00D50E91" w:rsidRDefault="0093536B" w:rsidP="0093536B">
      <w:pPr>
        <w:jc w:val="both"/>
      </w:pPr>
    </w:p>
    <w:p w:rsidR="0093536B" w:rsidRPr="00D50E91" w:rsidRDefault="0093536B" w:rsidP="0093536B">
      <w:pPr>
        <w:jc w:val="center"/>
        <w:rPr>
          <w:b/>
        </w:rPr>
      </w:pPr>
      <w:r w:rsidRPr="00D50E91">
        <w:rPr>
          <w:b/>
        </w:rPr>
        <w:t>9</w:t>
      </w:r>
      <w:r w:rsidR="000666EA" w:rsidRPr="00D50E91">
        <w:rPr>
          <w:b/>
        </w:rPr>
        <w:t>5</w:t>
      </w:r>
      <w:r w:rsidRPr="00D50E91">
        <w:rPr>
          <w:b/>
        </w:rPr>
        <w:t>. §</w:t>
      </w:r>
      <w:r w:rsidR="003528A8">
        <w:rPr>
          <w:b/>
        </w:rPr>
        <w:t>-</w:t>
      </w:r>
      <w:r w:rsidRPr="00D50E91">
        <w:rPr>
          <w:b/>
        </w:rPr>
        <w:t>hoz</w:t>
      </w:r>
    </w:p>
    <w:p w:rsidR="0093536B" w:rsidRPr="00D50E91" w:rsidRDefault="0093536B" w:rsidP="0093536B">
      <w:pPr>
        <w:jc w:val="both"/>
      </w:pPr>
    </w:p>
    <w:p w:rsidR="0093536B" w:rsidRPr="00D50E91" w:rsidRDefault="0093536B" w:rsidP="0093536B">
      <w:pPr>
        <w:jc w:val="both"/>
      </w:pPr>
      <w:r w:rsidRPr="00D50E91">
        <w:t>Általánosan elvárt kötelezettség az üzemeltetőktől, hogy tervezett, vagy rendkívüli esetekben is gondoskodjanak a kezelésükben lévő területet tűzvédelmi megfelelőségéről.</w:t>
      </w:r>
    </w:p>
    <w:p w:rsidR="0093536B" w:rsidRPr="00D50E91" w:rsidRDefault="0093536B" w:rsidP="0093536B">
      <w:pPr>
        <w:jc w:val="both"/>
      </w:pPr>
    </w:p>
    <w:p w:rsidR="0093536B" w:rsidRPr="00D50E91" w:rsidRDefault="0093536B" w:rsidP="0093536B">
      <w:pPr>
        <w:jc w:val="center"/>
        <w:rPr>
          <w:b/>
        </w:rPr>
      </w:pPr>
      <w:r w:rsidRPr="00D50E91">
        <w:rPr>
          <w:b/>
        </w:rPr>
        <w:t>9</w:t>
      </w:r>
      <w:r w:rsidR="000666EA" w:rsidRPr="00D50E91">
        <w:rPr>
          <w:b/>
        </w:rPr>
        <w:t>6</w:t>
      </w:r>
      <w:r w:rsidRPr="00D50E91">
        <w:rPr>
          <w:b/>
        </w:rPr>
        <w:t>. §</w:t>
      </w:r>
      <w:r w:rsidR="003528A8">
        <w:rPr>
          <w:b/>
        </w:rPr>
        <w:t>-</w:t>
      </w:r>
      <w:r w:rsidRPr="00D50E91">
        <w:rPr>
          <w:b/>
        </w:rPr>
        <w:t>hoz</w:t>
      </w:r>
    </w:p>
    <w:p w:rsidR="0093536B" w:rsidRPr="00D50E91" w:rsidRDefault="0093536B" w:rsidP="0093536B">
      <w:pPr>
        <w:jc w:val="center"/>
        <w:rPr>
          <w:b/>
        </w:rPr>
      </w:pPr>
    </w:p>
    <w:p w:rsidR="0093536B" w:rsidRPr="00D50E91" w:rsidRDefault="0093536B" w:rsidP="0093536B">
      <w:pPr>
        <w:jc w:val="both"/>
      </w:pPr>
      <w:r w:rsidRPr="00D50E91">
        <w:t xml:space="preserve">A szabadtérben történő tűzgyújtással, égetéssel kapcsolatos általános követelmények meghatározása elengedhetetlenül szükséges, figyelemmel az időjárási tendenciák kedvezőtlen változásaira. A szabályozással korlátozható a nem kívánt szabadtéri tűzterjedés. </w:t>
      </w:r>
    </w:p>
    <w:p w:rsidR="0093536B" w:rsidRPr="00D50E91" w:rsidRDefault="0093536B" w:rsidP="0093536B">
      <w:pPr>
        <w:jc w:val="both"/>
      </w:pPr>
    </w:p>
    <w:p w:rsidR="0093536B" w:rsidRPr="00D50E91" w:rsidRDefault="0093536B" w:rsidP="0093536B">
      <w:pPr>
        <w:jc w:val="center"/>
        <w:rPr>
          <w:b/>
        </w:rPr>
      </w:pPr>
      <w:r w:rsidRPr="00D50E91">
        <w:rPr>
          <w:b/>
        </w:rPr>
        <w:t>9</w:t>
      </w:r>
      <w:r w:rsidR="000666EA" w:rsidRPr="00D50E91">
        <w:rPr>
          <w:b/>
        </w:rPr>
        <w:t>7</w:t>
      </w:r>
      <w:r w:rsidRPr="00D50E91">
        <w:rPr>
          <w:b/>
        </w:rPr>
        <w:t>. §</w:t>
      </w:r>
      <w:r w:rsidR="003528A8">
        <w:rPr>
          <w:b/>
        </w:rPr>
        <w:t>-</w:t>
      </w:r>
      <w:r w:rsidRPr="00D50E91">
        <w:rPr>
          <w:b/>
        </w:rPr>
        <w:t>hoz</w:t>
      </w:r>
    </w:p>
    <w:p w:rsidR="0093536B" w:rsidRPr="00D50E91" w:rsidRDefault="0093536B" w:rsidP="0093536B">
      <w:pPr>
        <w:jc w:val="both"/>
      </w:pPr>
    </w:p>
    <w:p w:rsidR="0093536B" w:rsidRPr="00D50E91" w:rsidRDefault="0093536B" w:rsidP="0093536B">
      <w:pPr>
        <w:jc w:val="both"/>
      </w:pPr>
      <w:r w:rsidRPr="00D50E91">
        <w:t>Az irányított égetés vonatkozásában az érinteti kör anyagi és adminisztrációs terheinek csökkentése indokolja a szabályozás módosítását. A pusztán bejelentéshez kötött irányított égetés is teljesíti a korábbi jogalkotói szándékot a felügyelt égetés vonatkozásában. Az irányított égetés tervezett időpontját megelőző 2 munkanappal korábbi bejelentés szavatolja az indokol</w:t>
      </w:r>
      <w:r w:rsidR="0019737C" w:rsidRPr="00D50E91">
        <w:t>a</w:t>
      </w:r>
      <w:r w:rsidRPr="00D50E91">
        <w:t>tlan vonulások megelőzését.</w:t>
      </w:r>
    </w:p>
    <w:p w:rsidR="0093536B" w:rsidRPr="00D50E91" w:rsidRDefault="0093536B" w:rsidP="0093536B">
      <w:pPr>
        <w:jc w:val="both"/>
      </w:pPr>
    </w:p>
    <w:p w:rsidR="0093536B" w:rsidRPr="00D50E91" w:rsidRDefault="0093536B" w:rsidP="0093536B">
      <w:pPr>
        <w:jc w:val="center"/>
        <w:rPr>
          <w:b/>
        </w:rPr>
      </w:pPr>
      <w:r w:rsidRPr="00D50E91">
        <w:rPr>
          <w:b/>
        </w:rPr>
        <w:t>9</w:t>
      </w:r>
      <w:r w:rsidR="000666EA" w:rsidRPr="00D50E91">
        <w:rPr>
          <w:b/>
        </w:rPr>
        <w:t>8</w:t>
      </w:r>
      <w:r w:rsidRPr="00D50E91">
        <w:rPr>
          <w:b/>
        </w:rPr>
        <w:t>. §</w:t>
      </w:r>
      <w:r w:rsidR="003528A8">
        <w:rPr>
          <w:b/>
        </w:rPr>
        <w:t>-</w:t>
      </w:r>
      <w:r w:rsidRPr="00D50E91">
        <w:rPr>
          <w:b/>
        </w:rPr>
        <w:t>hoz</w:t>
      </w:r>
    </w:p>
    <w:p w:rsidR="0093536B" w:rsidRPr="00D50E91" w:rsidRDefault="0093536B" w:rsidP="0093536B">
      <w:pPr>
        <w:jc w:val="center"/>
        <w:rPr>
          <w:b/>
        </w:rPr>
      </w:pPr>
    </w:p>
    <w:p w:rsidR="0093536B" w:rsidRPr="00D50E91" w:rsidRDefault="0093536B" w:rsidP="0093536B">
      <w:pPr>
        <w:jc w:val="both"/>
      </w:pPr>
      <w:r w:rsidRPr="00D50E91">
        <w:t>A módosítás eredményeképpen csökkenthető azon téves riasztások száma, amely kizárólag emberi tevékenységre vezethetők vissza (pld, hegesztés, falcsiszolás, stb.), és nincsen összefüggésben a rendszer megfelelő működésével.</w:t>
      </w:r>
    </w:p>
    <w:p w:rsidR="0093536B" w:rsidRPr="00D50E91" w:rsidRDefault="0093536B" w:rsidP="0093536B">
      <w:pPr>
        <w:jc w:val="both"/>
      </w:pPr>
    </w:p>
    <w:p w:rsidR="0093536B" w:rsidRPr="00D50E91" w:rsidRDefault="00424714" w:rsidP="0093536B">
      <w:pPr>
        <w:jc w:val="center"/>
        <w:rPr>
          <w:b/>
        </w:rPr>
      </w:pPr>
      <w:r w:rsidRPr="00D50E91">
        <w:rPr>
          <w:b/>
        </w:rPr>
        <w:t>99</w:t>
      </w:r>
      <w:r w:rsidR="0093536B" w:rsidRPr="00D50E91">
        <w:rPr>
          <w:b/>
        </w:rPr>
        <w:t>. §</w:t>
      </w:r>
      <w:r w:rsidR="003528A8">
        <w:rPr>
          <w:b/>
        </w:rPr>
        <w:t>-</w:t>
      </w:r>
      <w:r w:rsidR="0093536B" w:rsidRPr="00D50E91">
        <w:rPr>
          <w:b/>
        </w:rPr>
        <w:t>hoz</w:t>
      </w:r>
    </w:p>
    <w:p w:rsidR="0093536B" w:rsidRPr="00D50E91" w:rsidRDefault="0093536B" w:rsidP="0093536B">
      <w:pPr>
        <w:jc w:val="center"/>
        <w:rPr>
          <w:b/>
        </w:rPr>
      </w:pPr>
    </w:p>
    <w:p w:rsidR="0093536B" w:rsidRPr="00D50E91" w:rsidRDefault="0093536B" w:rsidP="0093536B">
      <w:pPr>
        <w:jc w:val="both"/>
      </w:pPr>
      <w:r w:rsidRPr="00D50E91">
        <w:t>A kiegészítés az üzembiztos működés feltétele érdekében elengedhetetlen.</w:t>
      </w:r>
    </w:p>
    <w:p w:rsidR="0093536B" w:rsidRPr="00D50E91" w:rsidRDefault="0093536B" w:rsidP="0093536B">
      <w:pPr>
        <w:jc w:val="both"/>
      </w:pPr>
    </w:p>
    <w:p w:rsidR="0093536B" w:rsidRPr="00D50E91" w:rsidRDefault="0093536B" w:rsidP="0093536B">
      <w:pPr>
        <w:jc w:val="center"/>
        <w:rPr>
          <w:b/>
        </w:rPr>
      </w:pPr>
      <w:r w:rsidRPr="00D50E91">
        <w:rPr>
          <w:b/>
        </w:rPr>
        <w:t>10</w:t>
      </w:r>
      <w:r w:rsidR="000666EA" w:rsidRPr="00D50E91">
        <w:rPr>
          <w:b/>
        </w:rPr>
        <w:t>0</w:t>
      </w:r>
      <w:r w:rsidR="003528A8">
        <w:rPr>
          <w:b/>
        </w:rPr>
        <w:t>-</w:t>
      </w:r>
      <w:r w:rsidRPr="00D50E91">
        <w:rPr>
          <w:b/>
        </w:rPr>
        <w:t>10</w:t>
      </w:r>
      <w:r w:rsidR="000666EA" w:rsidRPr="00D50E91">
        <w:rPr>
          <w:b/>
        </w:rPr>
        <w:t>2</w:t>
      </w:r>
      <w:r w:rsidRPr="00D50E91">
        <w:rPr>
          <w:b/>
        </w:rPr>
        <w:t>. §</w:t>
      </w:r>
      <w:r w:rsidR="003528A8">
        <w:rPr>
          <w:b/>
        </w:rPr>
        <w:t>-</w:t>
      </w:r>
      <w:r w:rsidRPr="00D50E91">
        <w:rPr>
          <w:b/>
        </w:rPr>
        <w:t>hoz</w:t>
      </w:r>
    </w:p>
    <w:p w:rsidR="0093536B" w:rsidRPr="00D50E91" w:rsidRDefault="0093536B" w:rsidP="0093536B">
      <w:pPr>
        <w:jc w:val="center"/>
        <w:rPr>
          <w:b/>
        </w:rPr>
      </w:pPr>
    </w:p>
    <w:p w:rsidR="0093536B" w:rsidRPr="00D50E91" w:rsidRDefault="0093536B" w:rsidP="0093536B">
      <w:pPr>
        <w:jc w:val="both"/>
      </w:pPr>
      <w:r w:rsidRPr="00D50E91">
        <w:t>Technikai jellegű pontosítás a jogalkalmazás könnyítése érdekében.</w:t>
      </w:r>
    </w:p>
    <w:p w:rsidR="00424714" w:rsidRPr="00D50E91" w:rsidRDefault="00424714" w:rsidP="0093536B">
      <w:pPr>
        <w:jc w:val="both"/>
      </w:pPr>
    </w:p>
    <w:p w:rsidR="00424714" w:rsidRPr="00D50E91" w:rsidRDefault="00424714" w:rsidP="00424714">
      <w:pPr>
        <w:jc w:val="center"/>
        <w:rPr>
          <w:b/>
        </w:rPr>
      </w:pPr>
      <w:r w:rsidRPr="00D50E91">
        <w:rPr>
          <w:b/>
        </w:rPr>
        <w:t>10</w:t>
      </w:r>
      <w:r w:rsidR="000666EA" w:rsidRPr="00D50E91">
        <w:rPr>
          <w:b/>
        </w:rPr>
        <w:t>3</w:t>
      </w:r>
      <w:r w:rsidRPr="00D50E91">
        <w:rPr>
          <w:b/>
        </w:rPr>
        <w:t>. §</w:t>
      </w:r>
      <w:r w:rsidR="003528A8">
        <w:rPr>
          <w:b/>
        </w:rPr>
        <w:t>-</w:t>
      </w:r>
      <w:r w:rsidR="00E1009B" w:rsidRPr="00D50E91">
        <w:rPr>
          <w:b/>
        </w:rPr>
        <w:t>hoz</w:t>
      </w:r>
    </w:p>
    <w:p w:rsidR="00424714" w:rsidRPr="00D50E91" w:rsidRDefault="00424714" w:rsidP="00424714">
      <w:pPr>
        <w:jc w:val="both"/>
      </w:pPr>
    </w:p>
    <w:p w:rsidR="00424714" w:rsidRPr="00D50E91" w:rsidRDefault="00424714" w:rsidP="00424714">
      <w:pPr>
        <w:jc w:val="both"/>
        <w:rPr>
          <w:i/>
        </w:rPr>
      </w:pPr>
      <w:r w:rsidRPr="00D50E91">
        <w:rPr>
          <w:i/>
        </w:rPr>
        <w:t>1. melléklet</w:t>
      </w:r>
    </w:p>
    <w:p w:rsidR="00424714" w:rsidRPr="00D50E91" w:rsidRDefault="00424714" w:rsidP="00EC2DC1">
      <w:pPr>
        <w:spacing w:after="20"/>
        <w:jc w:val="both"/>
      </w:pPr>
      <w:r w:rsidRPr="00D50E91">
        <w:t>A kockázati osztályba sorolást ismertető 1., 2. és 3. táblázatok módosítása a jogalkalmazási tapasztalatok alapján a biztonsági szintet nem csökkentő enyhítéseket tartalmaz: a jelenleginél mélyebben fekvő (pince)szinteket, nagyobb helyiség</w:t>
      </w:r>
      <w:r w:rsidR="003528A8">
        <w:t>-</w:t>
      </w:r>
      <w:r w:rsidRPr="00D50E91">
        <w:t>befogadóképességet, nagyobb mennyiségű fokozottan tűz</w:t>
      </w:r>
      <w:r w:rsidR="003528A8">
        <w:t>-</w:t>
      </w:r>
      <w:r w:rsidRPr="00D50E91">
        <w:t xml:space="preserve"> vagy robbanásveszélyes anyag tárolását engedi meg a kockázati osztály szigorítása nélkül, valamint megkülönbözteti a fokozottan tűz</w:t>
      </w:r>
      <w:r w:rsidR="003528A8">
        <w:t>-</w:t>
      </w:r>
      <w:r w:rsidRPr="00D50E91">
        <w:t xml:space="preserve"> vagy robbanásveszélyes anyagok tárolása esetén a passzív </w:t>
      </w:r>
      <w:r w:rsidR="003528A8">
        <w:t>-</w:t>
      </w:r>
      <w:r w:rsidRPr="00D50E91">
        <w:t xml:space="preserve"> bontatlan, zárt csomagolásban való, azaz védettebb körülmények közötti – tárolást az egyéb tárolási módtól. Tűzvédelmi Műszaki Irányelvbe kerülnek át a melléklet egyes részei, ezáltal nagyobb mértékben lehet figyelembe</w:t>
      </w:r>
      <w:r w:rsidR="00073CCC">
        <w:t xml:space="preserve"> venni</w:t>
      </w:r>
      <w:r w:rsidRPr="00D50E91">
        <w:t xml:space="preserve"> az egyedi sajátosságokat elsősorban a nehezen tipizálható ipari, mezőgazdasági rendeltetéseknél, valamint egyes tárolási rendeltetéseknél. Az új 4. táblázat nagyobb mozgásteret ad az eltérő rendeltetések azonos kockázati egységben történő elhelyezésénél, illetve egyértelműsíti annak feltételeit. A hatályos előírások nem tartalmaztak alapterületi korlátozást az azonos kockázati egységbe kerülő egyes lakások és egyes közösségi rendeltetési egységek alapterületénél. </w:t>
      </w:r>
      <w:r w:rsidR="00EC2DC1" w:rsidRPr="00D50E91">
        <w:t>A közösségi rendeltetési egység alapterületére jelenleg nincs korlát, ezt a táblázat a tervezési gyakorlatnak megfelelően 500 m</w:t>
      </w:r>
      <w:r w:rsidR="00EC2DC1" w:rsidRPr="00D50E91">
        <w:rPr>
          <w:vertAlign w:val="superscript"/>
        </w:rPr>
        <w:t>2</w:t>
      </w:r>
      <w:r w:rsidR="003528A8">
        <w:t>-</w:t>
      </w:r>
      <w:r w:rsidR="00EC2DC1" w:rsidRPr="00D50E91">
        <w:t xml:space="preserve">ben állapítja meg. </w:t>
      </w:r>
      <w:r w:rsidRPr="00D50E91">
        <w:t>A tervezőnek a 11. § (2) bek. d) pontja alapján jelenleg is lehetősége van a kockázati egységek kiterjedését egyedi, megalapozott szempontok alapján megterveznie, ez a lehetőség a módosítást követően is fennáll, tehát el lehet térni a 4. táblázattól.</w:t>
      </w:r>
    </w:p>
    <w:p w:rsidR="00424714" w:rsidRPr="00D50E91" w:rsidRDefault="00424714" w:rsidP="00424714">
      <w:pPr>
        <w:jc w:val="both"/>
      </w:pPr>
    </w:p>
    <w:p w:rsidR="00424714" w:rsidRPr="00D50E91" w:rsidRDefault="00424714" w:rsidP="00424714">
      <w:pPr>
        <w:jc w:val="both"/>
        <w:rPr>
          <w:i/>
        </w:rPr>
      </w:pPr>
      <w:r w:rsidRPr="00D50E91">
        <w:rPr>
          <w:i/>
        </w:rPr>
        <w:t>2. melléklet</w:t>
      </w:r>
    </w:p>
    <w:p w:rsidR="00424714" w:rsidRPr="00D50E91" w:rsidRDefault="00424714" w:rsidP="00172272">
      <w:pPr>
        <w:jc w:val="both"/>
      </w:pPr>
      <w:r w:rsidRPr="00D50E91">
        <w:lastRenderedPageBreak/>
        <w:t>Az építményszerkezetek tűzvédelmi követelményeit a táblázat a jelenleginél egyszerűbb módon tartalmazza. A gyakorlati tapasztalatok, az alkalmazott építményszerkezetek jellemzői figyelembe vételével határoz meg</w:t>
      </w:r>
      <w:r w:rsidR="00BD2829" w:rsidRPr="00D50E91">
        <w:t xml:space="preserve"> módosításokat</w:t>
      </w:r>
      <w:r w:rsidRPr="00D50E91">
        <w:t>. A tűzvédelmi osztályra vonatkozó követelmények között a „nem éghető osztály” két fő osztálya közül az eddigi szigorúbb A1 helyett az enyhébb, ezért többféle építési anyag, szerkezet alkalmazását megengedő A2 osztályt tartalmazza a táblázat, illetve a tűzgátló válaszfalak és a tűzgátló ajtók esetén nem ír elő a továbbiakban tűzvédelmi osztályt. A tetőfödémek esetében a jelenlegi 60 kg/m2 felülettömeg értéket felemeli 80 kg/m2 értékre, ezzel követve a rétegrendekben, főleg a hőszigetelés vastagságában az elmúlt években bekövetkezett változásokat. Egyes szerkezetek esetében lehetőséget ad az EI követelmény helyett az EW kritérium alkalmazására, amellyel a hősugárzást az EI</w:t>
      </w:r>
      <w:r w:rsidR="003528A8">
        <w:t>-</w:t>
      </w:r>
      <w:r w:rsidRPr="00D50E91">
        <w:t xml:space="preserve">nél kisebb mértékben, de nem korlátlanul átengedő szerkezet (a gyakorlatban egyes tűzgátló üvegszerkezetek tartoznak ide) felhasználását engedi meg. </w:t>
      </w:r>
      <w:r w:rsidR="000B0F83" w:rsidRPr="00D50E91">
        <w:t xml:space="preserve">A </w:t>
      </w:r>
      <w:r w:rsidRPr="00D50E91">
        <w:t>korábban évtizedeken keresztül alkalmaz</w:t>
      </w:r>
      <w:r w:rsidR="001B3DBE" w:rsidRPr="00D50E91">
        <w:t>ott 45 perces értéket a rendelet nem alkalmazza:</w:t>
      </w:r>
      <w:r w:rsidRPr="00D50E91">
        <w:t xml:space="preserve"> a követelmény</w:t>
      </w:r>
      <w:r w:rsidR="001B3DBE" w:rsidRPr="00D50E91">
        <w:t>ek</w:t>
      </w:r>
      <w:r w:rsidRPr="00D50E91">
        <w:t xml:space="preserve"> igazod</w:t>
      </w:r>
      <w:r w:rsidR="001B3DBE" w:rsidRPr="00D50E91">
        <w:t>nak</w:t>
      </w:r>
      <w:r w:rsidRPr="00D50E91">
        <w:t xml:space="preserve"> az építési termékek uniós osztályozási időtartam változatainál megszokott, 30</w:t>
      </w:r>
      <w:r w:rsidR="003528A8">
        <w:t>-</w:t>
      </w:r>
      <w:r w:rsidRPr="00D50E91">
        <w:t>60</w:t>
      </w:r>
      <w:r w:rsidR="003528A8">
        <w:t>-</w:t>
      </w:r>
      <w:r w:rsidRPr="00D50E91">
        <w:t>90</w:t>
      </w:r>
      <w:r w:rsidR="003528A8">
        <w:t>-</w:t>
      </w:r>
      <w:r w:rsidRPr="00D50E91">
        <w:t>120 perces értékekhez – ez</w:t>
      </w:r>
      <w:r w:rsidR="00BD3FC5" w:rsidRPr="00D50E91">
        <w:t>zel a 45 perc érték</w:t>
      </w:r>
      <w:r w:rsidRPr="00D50E91">
        <w:t xml:space="preserve"> részben </w:t>
      </w:r>
      <w:r w:rsidR="000B0F83" w:rsidRPr="00D50E91">
        <w:t>60 percre, részben 30 percre változik</w:t>
      </w:r>
      <w:r w:rsidR="00172272" w:rsidRPr="00D50E91">
        <w:t>. A</w:t>
      </w:r>
      <w:r w:rsidRPr="00D50E91">
        <w:t xml:space="preserve"> NAK mértékadó kockázati osztályban, 4 szint esetén (pl. 4 szintes lakó</w:t>
      </w:r>
      <w:r w:rsidR="003528A8">
        <w:t>-</w:t>
      </w:r>
      <w:r w:rsidRPr="00D50E91">
        <w:t xml:space="preserve"> vagy irodaépület) a 30 perc állékonyság a tűzoltó beavatkozás várható időigényéhez viszonyítva alacsony érték, in</w:t>
      </w:r>
      <w:r w:rsidR="00172272" w:rsidRPr="00D50E91">
        <w:t>dokolt ennek növelése 60 percre. A</w:t>
      </w:r>
      <w:r w:rsidRPr="00D50E91">
        <w:t xml:space="preserve"> teherhordó fal/pillér és a kapcsolódó födém együttesére azonos időtartam</w:t>
      </w:r>
      <w:r w:rsidR="003528A8">
        <w:t>-</w:t>
      </w:r>
      <w:r w:rsidRPr="00D50E91">
        <w:t>követelményt határoz meg a táblázat, a statikai összefüggések figyelembe vétele céljából, ami a födém</w:t>
      </w:r>
      <w:r w:rsidR="00172272" w:rsidRPr="00D50E91">
        <w:t>eknél</w:t>
      </w:r>
      <w:r w:rsidRPr="00D50E91">
        <w:t xml:space="preserve"> két esetben 60 percről 90 percre</w:t>
      </w:r>
      <w:r w:rsidR="00172272" w:rsidRPr="00D50E91">
        <w:t xml:space="preserve"> növelést jelent. A</w:t>
      </w:r>
      <w:r w:rsidRPr="00D50E91">
        <w:t>z emeletközi és padlásfödémre a jelenlegi táblázat pince+fszt. szintszámú oszlopaiban nem vonatkozik követelmény, ennek pótlása jelenik meg a módosításban</w:t>
      </w:r>
      <w:r w:rsidR="00172272" w:rsidRPr="00D50E91">
        <w:t>. A</w:t>
      </w:r>
      <w:r w:rsidRPr="00D50E91">
        <w:t>z álpadlók esetében a követelmény kiegészül az R kritériummal, de az álpadlókat ennek megfelelően vizsgálják tűzállóság szempontjából, emiatt ez valódi szigorítást nem eredményez</w:t>
      </w:r>
      <w:r w:rsidR="00172272" w:rsidRPr="00D50E91">
        <w:t>. A</w:t>
      </w:r>
      <w:r w:rsidRPr="00D50E91">
        <w:t xml:space="preserve"> tetőfödém tartószerkezetének követelménye NAK osztály és 4 szint esetén 15 percről 30 percre növekszik, ezzel követve a teherhordó szerkezetek tervezet szerinti 60 perc</w:t>
      </w:r>
      <w:r w:rsidR="00172272" w:rsidRPr="00D50E91">
        <w:t>es</w:t>
      </w:r>
      <w:r w:rsidRPr="00D50E91">
        <w:t xml:space="preserve"> tűzállóságát</w:t>
      </w:r>
      <w:r w:rsidR="00172272" w:rsidRPr="00D50E91">
        <w:t>. A</w:t>
      </w:r>
      <w:r w:rsidRPr="00D50E91">
        <w:t xml:space="preserve"> NAK osztály 4 szint és az AK osztály 5</w:t>
      </w:r>
      <w:r w:rsidR="003528A8">
        <w:t>-</w:t>
      </w:r>
      <w:r w:rsidRPr="00D50E91">
        <w:t>6 szint esetén 30</w:t>
      </w:r>
      <w:r w:rsidR="003528A8">
        <w:t>-</w:t>
      </w:r>
      <w:r w:rsidRPr="00D50E91">
        <w:t>ról, illetve 45</w:t>
      </w:r>
      <w:r w:rsidR="003528A8">
        <w:t>-</w:t>
      </w:r>
      <w:r w:rsidRPr="00D50E91">
        <w:t>ről 60 percre nő a menekülési lépcsőház tartószerkezeteinek követelménye, tekintettel a teherhordó szerkezetek azonos, 60 perces követelményeire és arra, hogy a lépcsőház a tűzoltók beavatkozását teszi lehetővé, ez indokolja a teherhordó szerkezetekhez való igazítást (ugyanez vonatkozik a tűzgátló falra)</w:t>
      </w:r>
      <w:r w:rsidR="00172272" w:rsidRPr="00D50E91">
        <w:t>.</w:t>
      </w:r>
    </w:p>
    <w:p w:rsidR="00424714" w:rsidRPr="00D50E91" w:rsidRDefault="00424714" w:rsidP="00424714">
      <w:pPr>
        <w:jc w:val="both"/>
      </w:pPr>
    </w:p>
    <w:p w:rsidR="00424714" w:rsidRPr="00D50E91" w:rsidRDefault="00424714" w:rsidP="00424714">
      <w:pPr>
        <w:jc w:val="both"/>
        <w:rPr>
          <w:i/>
        </w:rPr>
      </w:pPr>
      <w:r w:rsidRPr="00D50E91">
        <w:rPr>
          <w:i/>
        </w:rPr>
        <w:t>3. melléklet</w:t>
      </w:r>
    </w:p>
    <w:p w:rsidR="00424714" w:rsidRPr="00D50E91" w:rsidRDefault="00424714" w:rsidP="00424714">
      <w:pPr>
        <w:jc w:val="both"/>
      </w:pPr>
      <w:r w:rsidRPr="00D50E91">
        <w:t>A tűzveszélyességi osztályok megnevezésének, valamint a kockázati osztályba sorolásnál figyelembe vett éghető anyag mennyiségek változását követi le a táblázat módosítása, illetve egyértelműsíti, hogy a kazal, szérű, rostnövénytároló esetén a követelmény nem vonatkozik a létesítményen belüli esetekre.</w:t>
      </w:r>
    </w:p>
    <w:p w:rsidR="00424714" w:rsidRPr="00D50E91" w:rsidRDefault="00424714" w:rsidP="00424714">
      <w:pPr>
        <w:jc w:val="both"/>
      </w:pPr>
    </w:p>
    <w:p w:rsidR="00424714" w:rsidRPr="00D50E91" w:rsidRDefault="00424714" w:rsidP="00424714">
      <w:pPr>
        <w:jc w:val="both"/>
        <w:rPr>
          <w:i/>
        </w:rPr>
      </w:pPr>
      <w:r w:rsidRPr="00D50E91">
        <w:rPr>
          <w:i/>
        </w:rPr>
        <w:t>4. melléklet</w:t>
      </w:r>
    </w:p>
    <w:p w:rsidR="001C50D0" w:rsidRPr="00D50E91" w:rsidRDefault="00424714" w:rsidP="001C50D0">
      <w:pPr>
        <w:pStyle w:val="Szvegtrzs"/>
        <w:spacing w:after="0"/>
        <w:jc w:val="both"/>
      </w:pPr>
      <w:r w:rsidRPr="00D50E91">
        <w:t>Az 1. táblázat korlátozott körben nagyobb tűzszakaszméreteket enged meg egyes rendeltetéseknél. Ennek háttere az, hogy az egymáshoz hasonló kockázatú, jellemzőjű rendeltetésekre azonos követelmény vonatkozzon, és a rendeltetések általánosabb, összefogó megnevezése jobban, egyértelműbben fedje le az érintett rendeltetések körét, elősegítve ezzel a tervezést (pl. az óvoda és a bölcsőde esetében az egységes tűzszakaszméretet indokolja az is, hogy egyre több egységes, ill. összevont óvoda</w:t>
      </w:r>
      <w:r w:rsidR="003528A8">
        <w:t>-</w:t>
      </w:r>
      <w:r w:rsidRPr="00D50E91">
        <w:t>bölcsőde működik – az óvodára vonatkozó eddig értékek megtartása a bölcsőde esetében kisebb mértékű növelést jelent).</w:t>
      </w:r>
      <w:r w:rsidR="001C50D0" w:rsidRPr="00D50E91">
        <w:t xml:space="preserve"> A 2. és 3. táblázat A kiegészítés hiányzó tűzszakaszméretet pótol, illetve pontosítja a térfogat figyelembevételét, és lehetővé teszi a fóliasátrak, üvegházak tűzszakaszolás nélküli – jelenleg eltérési engedéllyel kezelt – kialakítását.</w:t>
      </w:r>
    </w:p>
    <w:p w:rsidR="00424714" w:rsidRPr="00D50E91" w:rsidRDefault="00424714" w:rsidP="00424714">
      <w:pPr>
        <w:jc w:val="both"/>
      </w:pPr>
    </w:p>
    <w:p w:rsidR="001C50D0" w:rsidRPr="00D50E91" w:rsidRDefault="001C50D0" w:rsidP="00424714">
      <w:pPr>
        <w:jc w:val="both"/>
        <w:rPr>
          <w:i/>
        </w:rPr>
      </w:pPr>
      <w:r w:rsidRPr="00D50E91">
        <w:rPr>
          <w:i/>
        </w:rPr>
        <w:t>5. melléklet</w:t>
      </w:r>
    </w:p>
    <w:p w:rsidR="001C50D0" w:rsidRPr="00D50E91" w:rsidRDefault="0030327D" w:rsidP="00424714">
      <w:pPr>
        <w:jc w:val="both"/>
      </w:pPr>
      <w:r w:rsidRPr="00D50E91">
        <w:t>A táblázat a kiürítés megengedett időtartamainak, illetve útvonalhosszúságainak növelésére ad lehetőséget egyes, a kiürítést kedvezően befolyásoló körülmények (pl. kétirányú kiürítés lehetősége) teljesülése esetén, ezáltal nagyobb mozgásteret ad a nagy belmagasságú terek, csarnokok tervezésénél.</w:t>
      </w:r>
    </w:p>
    <w:p w:rsidR="0030327D" w:rsidRPr="00D50E91" w:rsidRDefault="0030327D" w:rsidP="00424714">
      <w:pPr>
        <w:jc w:val="both"/>
      </w:pPr>
    </w:p>
    <w:p w:rsidR="0030327D" w:rsidRPr="00D50E91" w:rsidRDefault="0030327D" w:rsidP="00424714">
      <w:pPr>
        <w:jc w:val="both"/>
        <w:rPr>
          <w:i/>
        </w:rPr>
      </w:pPr>
      <w:r w:rsidRPr="00D50E91">
        <w:rPr>
          <w:i/>
        </w:rPr>
        <w:t>6. melléklet</w:t>
      </w:r>
    </w:p>
    <w:p w:rsidR="0030327D" w:rsidRPr="00D50E91" w:rsidRDefault="0030327D" w:rsidP="00424714">
      <w:pPr>
        <w:jc w:val="both"/>
      </w:pPr>
      <w:r w:rsidRPr="00D50E91">
        <w:t>A módosítás egyértelműsíti (illetve rögzíti) az eddigi gyakorlatot.</w:t>
      </w:r>
    </w:p>
    <w:p w:rsidR="0030327D" w:rsidRPr="00D50E91" w:rsidRDefault="0030327D" w:rsidP="00424714">
      <w:pPr>
        <w:jc w:val="both"/>
      </w:pPr>
    </w:p>
    <w:p w:rsidR="0030327D" w:rsidRPr="00D50E91" w:rsidRDefault="0030327D" w:rsidP="00424714">
      <w:pPr>
        <w:jc w:val="both"/>
        <w:rPr>
          <w:i/>
        </w:rPr>
      </w:pPr>
      <w:r w:rsidRPr="00D50E91">
        <w:rPr>
          <w:i/>
        </w:rPr>
        <w:t>7. melléklet</w:t>
      </w:r>
    </w:p>
    <w:p w:rsidR="0030327D" w:rsidRPr="00D50E91" w:rsidRDefault="0030327D" w:rsidP="00225DD7">
      <w:pPr>
        <w:jc w:val="both"/>
      </w:pPr>
      <w:r w:rsidRPr="00D50E91">
        <w:t>A módosítás pontosítást tartalmaz, egyértelműsíti a követelményt a tömegtartózkodásra szolgáló és egyben 1200 m2</w:t>
      </w:r>
      <w:r w:rsidR="003528A8">
        <w:t>-</w:t>
      </w:r>
      <w:r w:rsidRPr="00D50E91">
        <w:t>nél nagyobb alapterületű helyiség esetében, illetve a füstelvezető rendszer elemeire vonatkozó követelményeket hozzáigazítja az uniós vizsgálati osztályozás megnevezéseihez (pl. single, multi).</w:t>
      </w:r>
    </w:p>
    <w:p w:rsidR="0030327D" w:rsidRPr="00D50E91" w:rsidRDefault="0030327D" w:rsidP="00424714">
      <w:pPr>
        <w:jc w:val="both"/>
      </w:pPr>
    </w:p>
    <w:p w:rsidR="0030327D" w:rsidRPr="00D50E91" w:rsidRDefault="0030327D" w:rsidP="00424714">
      <w:pPr>
        <w:jc w:val="both"/>
        <w:rPr>
          <w:i/>
        </w:rPr>
      </w:pPr>
      <w:r w:rsidRPr="00D50E91">
        <w:rPr>
          <w:i/>
        </w:rPr>
        <w:t>8. melléklet</w:t>
      </w:r>
    </w:p>
    <w:p w:rsidR="0030327D" w:rsidRPr="00D50E91" w:rsidRDefault="0030327D" w:rsidP="0030327D">
      <w:pPr>
        <w:jc w:val="both"/>
      </w:pPr>
      <w:r w:rsidRPr="00D50E91">
        <w:t xml:space="preserve">Az 1. táblázat pontosítást tartalmaz, lehetővé teszi a robbanásveszély mértéke alapján a követelmény differenciáltabb megállapítását, ha nem az épület egésze tekintendő robbanásveszélyesnek, hanem csak korlátozott része. A 2. táblázat </w:t>
      </w:r>
      <w:r w:rsidRPr="00D50E91">
        <w:rPr>
          <w:szCs w:val="22"/>
          <w:lang w:eastAsia="en-US"/>
        </w:rPr>
        <w:t>lehetővé teszi, hogy egyes esetekben a</w:t>
      </w:r>
      <w:r w:rsidRPr="00D50E91">
        <w:t xml:space="preserve">z elektrosztatikai kockázat meghatározása nélkül is kimondható legyen az elektrosztatikus feltöltődés elleni védelem megfelelősége. Az ehhez szükséges feltételeket – levezetési ellenállási értékeket </w:t>
      </w:r>
      <w:r w:rsidR="003528A8">
        <w:t>-</w:t>
      </w:r>
      <w:r w:rsidRPr="00D50E91">
        <w:t xml:space="preserve"> tartalmazza az új táblázat.</w:t>
      </w:r>
    </w:p>
    <w:p w:rsidR="0030327D" w:rsidRPr="00D50E91" w:rsidRDefault="0030327D" w:rsidP="00424714">
      <w:pPr>
        <w:jc w:val="both"/>
      </w:pPr>
    </w:p>
    <w:p w:rsidR="001C50D0" w:rsidRPr="00D50E91" w:rsidRDefault="0030327D" w:rsidP="00424714">
      <w:pPr>
        <w:jc w:val="both"/>
        <w:rPr>
          <w:i/>
        </w:rPr>
      </w:pPr>
      <w:r w:rsidRPr="00D50E91">
        <w:rPr>
          <w:i/>
        </w:rPr>
        <w:t>9. melléklet</w:t>
      </w:r>
    </w:p>
    <w:p w:rsidR="001C50D0" w:rsidRPr="00D50E91" w:rsidRDefault="0030327D" w:rsidP="00424714">
      <w:pPr>
        <w:jc w:val="both"/>
      </w:pPr>
      <w:r w:rsidRPr="00D50E91">
        <w:t>A módosítás pontosítja, illetve egyértelműsíti az érintett rendeltetések körét és a kötelezettség megállapítását megalapozó feltételeket (pl. a nagykonyhai készülékek, a konténerkutak, a színpadi záporberendezések esetében). A kockázathoz igazítva enyhíti a követelményt a nézőtérrel vagy anélkül kialakított rendezvényterek (pl. multifunkcionális rendezvénycsarnokok), a hitéleti rendeltetések esetében, valamint a kis alapterületű, de középmagas kategóriájú szálláshelyek oltóberendezéssel való ellátása tekintetében. Az üzemi rendeltetések esetében nem minden, MK kockázati osztályú esetben, hanem egyedi mérlegelés és megalapozott hatósági döntés esetén lesz szükséges a beépített berendezések telepítése. Ugyancsak az egyedi mérlegelés tárgyává teszi a fekvőbeteg</w:t>
      </w:r>
      <w:r w:rsidR="003528A8">
        <w:t>-</w:t>
      </w:r>
      <w:r w:rsidRPr="00D50E91">
        <w:t>ellátáshoz kapcsolódó műtők esetében az oltóberendezések létesítését, amelynek megítélése a gyakorlati tapasztalatok alapján az orvostechnológiai szakértők között nem egységes.</w:t>
      </w:r>
    </w:p>
    <w:p w:rsidR="001C50D0" w:rsidRPr="00D50E91" w:rsidRDefault="001C50D0" w:rsidP="00424714">
      <w:pPr>
        <w:jc w:val="both"/>
      </w:pPr>
    </w:p>
    <w:p w:rsidR="00424714" w:rsidRPr="00D50E91" w:rsidRDefault="0030327D" w:rsidP="0093536B">
      <w:pPr>
        <w:jc w:val="both"/>
        <w:rPr>
          <w:i/>
        </w:rPr>
      </w:pPr>
      <w:r w:rsidRPr="00D50E91">
        <w:rPr>
          <w:i/>
        </w:rPr>
        <w:t>10. melléklet</w:t>
      </w:r>
    </w:p>
    <w:p w:rsidR="0030327D" w:rsidRPr="00D50E91" w:rsidRDefault="0030327D" w:rsidP="0093536B">
      <w:pPr>
        <w:jc w:val="both"/>
      </w:pPr>
      <w:r w:rsidRPr="00D50E91">
        <w:t>A rendelet módosítása az „1” kategóriájú pébégázcseretelepeket az érintett szakmai szervezet javaslatát elfogadva két alkategóriára bontja. A táblázatok kiegészítése az alkategóriák figyelembe vételével rendel a kisebb gázmennyiséggel járó „1a” kategóriához kisebb követelményt.</w:t>
      </w:r>
    </w:p>
    <w:p w:rsidR="0030327D" w:rsidRPr="00D50E91" w:rsidRDefault="0030327D" w:rsidP="0093536B">
      <w:pPr>
        <w:jc w:val="both"/>
      </w:pPr>
    </w:p>
    <w:p w:rsidR="0030327D" w:rsidRPr="00D50E91" w:rsidRDefault="0030327D" w:rsidP="0093536B">
      <w:pPr>
        <w:jc w:val="both"/>
        <w:rPr>
          <w:i/>
        </w:rPr>
      </w:pPr>
      <w:r w:rsidRPr="00D50E91">
        <w:rPr>
          <w:i/>
        </w:rPr>
        <w:t>11. melléklet</w:t>
      </w:r>
    </w:p>
    <w:p w:rsidR="0030327D" w:rsidRPr="00D50E91" w:rsidRDefault="0030327D" w:rsidP="0093536B">
      <w:pPr>
        <w:jc w:val="both"/>
      </w:pPr>
      <w:r w:rsidRPr="00D50E91">
        <w:t>Az értelmezést elősegítő pontosítást tartalmaz a módosítás.</w:t>
      </w:r>
    </w:p>
    <w:p w:rsidR="0030327D" w:rsidRPr="00D50E91" w:rsidRDefault="0030327D" w:rsidP="0093536B">
      <w:pPr>
        <w:jc w:val="both"/>
      </w:pPr>
    </w:p>
    <w:p w:rsidR="0030327D" w:rsidRPr="00D50E91" w:rsidRDefault="0030327D" w:rsidP="0093536B">
      <w:pPr>
        <w:jc w:val="both"/>
        <w:rPr>
          <w:i/>
        </w:rPr>
      </w:pPr>
      <w:r w:rsidRPr="00D50E91">
        <w:rPr>
          <w:i/>
        </w:rPr>
        <w:t>12. melléklet</w:t>
      </w:r>
    </w:p>
    <w:p w:rsidR="0030327D" w:rsidRPr="00D50E91" w:rsidRDefault="0030327D" w:rsidP="0093536B">
      <w:pPr>
        <w:jc w:val="both"/>
      </w:pPr>
      <w:r w:rsidRPr="00D50E91">
        <w:t>Egyértelműbben határozza meg a tárolható anyagmennyiségeket és a kockázat mértékének figyelembe vételével életszerűbb, nagyobb mennyiségeket tesz lehetővé a kisebb alapterületű helyiség esetén alkalmazható jelenlegi követelménynél, továbbá leköveti a tűzveszélyességi osztály megnevezésének módosítását.</w:t>
      </w:r>
    </w:p>
    <w:p w:rsidR="0030327D" w:rsidRPr="00D50E91" w:rsidRDefault="0030327D" w:rsidP="0093536B">
      <w:pPr>
        <w:jc w:val="both"/>
      </w:pPr>
    </w:p>
    <w:p w:rsidR="0030327D" w:rsidRPr="00D50E91" w:rsidRDefault="0030327D" w:rsidP="0093536B">
      <w:pPr>
        <w:jc w:val="both"/>
        <w:rPr>
          <w:i/>
        </w:rPr>
      </w:pPr>
      <w:r w:rsidRPr="00D50E91">
        <w:rPr>
          <w:i/>
        </w:rPr>
        <w:t>13. melléklet</w:t>
      </w:r>
    </w:p>
    <w:p w:rsidR="0030327D" w:rsidRPr="00D50E91" w:rsidRDefault="0030327D" w:rsidP="0093536B">
      <w:pPr>
        <w:jc w:val="both"/>
      </w:pPr>
      <w:r w:rsidRPr="00D50E91">
        <w:t>A módosítással életszerűbb, a gyakorlathoz igazított megnövelt ellenőrzési ciklusidők vonatkoznak egyes műszaki megoldásokra. A táblázat kiegészítése egyértelműsíti, hogy a biztonsági világítás részét képező irányjelzések (korábbi nevén: irányfényvilágítás) is az ellenőrzés, felülvizsgálat tárgyát képezik, illetve a tűzgátló záróelemek közül csak azokra vonatkozik a kötelezettség, amelyeknek van ténylegesen ellenőrizhető – mozgó – része, az egyéb megoldásokra (reaktív, felhabosodó anyagot tartalmazó mandzsettákra) nem.</w:t>
      </w:r>
    </w:p>
    <w:p w:rsidR="0093536B" w:rsidRPr="00D50E91" w:rsidRDefault="0093536B" w:rsidP="0093536B">
      <w:pPr>
        <w:jc w:val="both"/>
      </w:pPr>
    </w:p>
    <w:p w:rsidR="0093536B" w:rsidRPr="00D50E91" w:rsidRDefault="0093536B" w:rsidP="0093536B">
      <w:pPr>
        <w:jc w:val="center"/>
      </w:pPr>
      <w:r w:rsidRPr="00D50E91">
        <w:rPr>
          <w:b/>
        </w:rPr>
        <w:lastRenderedPageBreak/>
        <w:t>10</w:t>
      </w:r>
      <w:r w:rsidR="000666EA" w:rsidRPr="00D50E91">
        <w:rPr>
          <w:b/>
        </w:rPr>
        <w:t>4</w:t>
      </w:r>
      <w:r w:rsidR="003528A8">
        <w:rPr>
          <w:b/>
        </w:rPr>
        <w:t>-</w:t>
      </w:r>
      <w:r w:rsidRPr="00D50E91">
        <w:rPr>
          <w:b/>
        </w:rPr>
        <w:t>10</w:t>
      </w:r>
      <w:r w:rsidR="000666EA" w:rsidRPr="00D50E91">
        <w:rPr>
          <w:b/>
        </w:rPr>
        <w:t>5</w:t>
      </w:r>
      <w:r w:rsidRPr="00D50E91">
        <w:rPr>
          <w:b/>
        </w:rPr>
        <w:t>. §</w:t>
      </w:r>
      <w:r w:rsidR="003528A8">
        <w:rPr>
          <w:b/>
        </w:rPr>
        <w:t>-</w:t>
      </w:r>
      <w:r w:rsidRPr="00D50E91">
        <w:rPr>
          <w:b/>
        </w:rPr>
        <w:t>hoz</w:t>
      </w:r>
    </w:p>
    <w:p w:rsidR="0093536B" w:rsidRPr="00D50E91" w:rsidRDefault="0093536B" w:rsidP="0093536B">
      <w:pPr>
        <w:jc w:val="center"/>
        <w:rPr>
          <w:b/>
        </w:rPr>
      </w:pPr>
    </w:p>
    <w:p w:rsidR="0093536B" w:rsidRPr="00D50E91" w:rsidRDefault="0093536B" w:rsidP="0093536B">
      <w:pPr>
        <w:jc w:val="both"/>
      </w:pPr>
      <w:r w:rsidRPr="00D50E91">
        <w:t>A definíciók és követelmények változásából eredő technikai jellegű módosítások, változások, indokolják.</w:t>
      </w:r>
    </w:p>
    <w:p w:rsidR="00682C7E" w:rsidRPr="00D50E91" w:rsidRDefault="00682C7E" w:rsidP="00595B18">
      <w:pPr>
        <w:jc w:val="both"/>
      </w:pPr>
    </w:p>
    <w:p w:rsidR="00682C7E" w:rsidRPr="00D50E91" w:rsidRDefault="00682C7E" w:rsidP="00682C7E">
      <w:pPr>
        <w:jc w:val="center"/>
        <w:rPr>
          <w:b/>
        </w:rPr>
      </w:pPr>
      <w:r w:rsidRPr="00D50E91">
        <w:rPr>
          <w:b/>
        </w:rPr>
        <w:t>10</w:t>
      </w:r>
      <w:r w:rsidR="000666EA" w:rsidRPr="00D50E91">
        <w:rPr>
          <w:b/>
        </w:rPr>
        <w:t>6</w:t>
      </w:r>
      <w:r w:rsidRPr="00D50E91">
        <w:rPr>
          <w:b/>
        </w:rPr>
        <w:t>. §</w:t>
      </w:r>
      <w:r w:rsidR="003528A8">
        <w:rPr>
          <w:b/>
        </w:rPr>
        <w:t>-</w:t>
      </w:r>
      <w:r w:rsidR="00E1009B" w:rsidRPr="00D50E91">
        <w:rPr>
          <w:b/>
        </w:rPr>
        <w:t>hoz</w:t>
      </w:r>
    </w:p>
    <w:p w:rsidR="00682C7E" w:rsidRPr="00D50E91" w:rsidRDefault="00682C7E" w:rsidP="00595B18">
      <w:pPr>
        <w:jc w:val="both"/>
      </w:pPr>
    </w:p>
    <w:p w:rsidR="00682C7E" w:rsidRPr="00D50E91" w:rsidRDefault="00682C7E" w:rsidP="00595B18">
      <w:pPr>
        <w:jc w:val="both"/>
      </w:pPr>
      <w:r w:rsidRPr="00D50E91">
        <w:t>Hatályba</w:t>
      </w:r>
      <w:r w:rsidR="00B40CDB">
        <w:t xml:space="preserve"> </w:t>
      </w:r>
      <w:r w:rsidRPr="00D50E91">
        <w:t>léptető és átmeneti rendelkezéseket tartalmaz</w:t>
      </w:r>
      <w:r w:rsidR="000D4819" w:rsidRPr="00D50E91">
        <w:t>.</w:t>
      </w:r>
    </w:p>
    <w:p w:rsidR="00F33957" w:rsidRPr="00D50E91" w:rsidRDefault="00F33957" w:rsidP="00595B18">
      <w:pPr>
        <w:jc w:val="both"/>
      </w:pPr>
      <w:r w:rsidRPr="00D50E91">
        <w:t>A kihirdetéstől és a módosítás hatálybalépéséig 180 nap biztosítja a tervezők, kivitelezők, tulajdonosok, használók és üzemeltetők sz</w:t>
      </w:r>
      <w:r w:rsidR="00E9688B" w:rsidRPr="00D50E91">
        <w:t>á</w:t>
      </w:r>
      <w:r w:rsidRPr="00D50E91">
        <w:t>mára az új követelmények</w:t>
      </w:r>
      <w:r w:rsidR="00E9688B" w:rsidRPr="00D50E91">
        <w:t>re való felkészülési időt.</w:t>
      </w:r>
    </w:p>
    <w:p w:rsidR="00E9688B" w:rsidRPr="00D50E91" w:rsidRDefault="00E9688B" w:rsidP="00595B18">
      <w:pPr>
        <w:jc w:val="both"/>
      </w:pPr>
      <w:r w:rsidRPr="00D50E91">
        <w:t>Indokolt a meglévő épületek, építmények, létesítmények, szabadterek vonatkozásában annak rögzítése, hogy ezek használata során nem a létesítéskori, hanem az új használati követelményeket kell teljesíteniük.</w:t>
      </w:r>
    </w:p>
    <w:p w:rsidR="00E9688B" w:rsidRPr="00D50E91" w:rsidRDefault="00E9688B" w:rsidP="00595B18">
      <w:pPr>
        <w:jc w:val="both"/>
      </w:pPr>
      <w:r w:rsidRPr="00D50E91">
        <w:t>A létesítési követelmények esetében a rendelkezés lehetőséget biztosít arra, hogy ha az új szabályozás enyhébb követelményeket állapít meg, az</w:t>
      </w:r>
      <w:r w:rsidR="0066603D" w:rsidRPr="00D50E91">
        <w:t>ok</w:t>
      </w:r>
      <w:r w:rsidRPr="00D50E91">
        <w:t xml:space="preserve"> a meglévő épületek, építmények, létesítmények, szabadterek esetében </w:t>
      </w:r>
      <w:r w:rsidR="0066603D" w:rsidRPr="00D50E91">
        <w:t>is alkalmazhatóak legyenek, amennyiben az nem csökkenti az elvárt biztonsági szintet.</w:t>
      </w:r>
    </w:p>
    <w:p w:rsidR="000D4819" w:rsidRPr="00D50E91" w:rsidRDefault="000D4819" w:rsidP="00595B18">
      <w:pPr>
        <w:jc w:val="both"/>
      </w:pPr>
    </w:p>
    <w:p w:rsidR="00E1009B" w:rsidRPr="00D50E91" w:rsidRDefault="00E1009B" w:rsidP="00E1009B">
      <w:pPr>
        <w:jc w:val="center"/>
        <w:rPr>
          <w:b/>
        </w:rPr>
      </w:pPr>
      <w:r w:rsidRPr="00D50E91">
        <w:rPr>
          <w:b/>
        </w:rPr>
        <w:t>10</w:t>
      </w:r>
      <w:r w:rsidR="000666EA" w:rsidRPr="00D50E91">
        <w:rPr>
          <w:b/>
        </w:rPr>
        <w:t>7</w:t>
      </w:r>
      <w:r w:rsidRPr="00D50E91">
        <w:rPr>
          <w:b/>
        </w:rPr>
        <w:t>. §</w:t>
      </w:r>
      <w:r w:rsidR="003528A8">
        <w:rPr>
          <w:b/>
        </w:rPr>
        <w:t>-</w:t>
      </w:r>
      <w:r w:rsidRPr="00D50E91">
        <w:rPr>
          <w:b/>
        </w:rPr>
        <w:t>hoz</w:t>
      </w:r>
    </w:p>
    <w:p w:rsidR="00E1009B" w:rsidRPr="00D50E91" w:rsidRDefault="00E1009B" w:rsidP="00595B18">
      <w:pPr>
        <w:jc w:val="both"/>
      </w:pPr>
    </w:p>
    <w:p w:rsidR="00E1009B" w:rsidRDefault="00B740FA" w:rsidP="00595B18">
      <w:pPr>
        <w:jc w:val="both"/>
      </w:pPr>
      <w:r w:rsidRPr="00D50E91">
        <w:t>EU</w:t>
      </w:r>
      <w:r w:rsidR="00E1009B" w:rsidRPr="00D50E91">
        <w:t xml:space="preserve"> notifikációs záradékot tartalmaz.</w:t>
      </w:r>
    </w:p>
    <w:sectPr w:rsidR="00E1009B" w:rsidSect="004E635C">
      <w:pgSz w:w="11906" w:h="16838" w:code="9"/>
      <w:pgMar w:top="961" w:right="1080" w:bottom="1134" w:left="1080" w:header="419" w:footer="293"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F28" w:rsidRDefault="00A64F28">
      <w:r>
        <w:separator/>
      </w:r>
    </w:p>
  </w:endnote>
  <w:endnote w:type="continuationSeparator" w:id="0">
    <w:p w:rsidR="00A64F28" w:rsidRDefault="00A64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imes New Roman félkövér">
    <w:panose1 w:val="00000000000000000000"/>
    <w:charset w:val="00"/>
    <w:family w:val="roman"/>
    <w:notTrueType/>
    <w:pitch w:val="default"/>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3292"/>
      <w:gridCol w:w="3328"/>
      <w:gridCol w:w="3342"/>
    </w:tblGrid>
    <w:tr w:rsidR="00A64F28" w:rsidRPr="00201EED" w:rsidTr="00CD4744">
      <w:trPr>
        <w:trHeight w:val="476"/>
      </w:trPr>
      <w:tc>
        <w:tcPr>
          <w:tcW w:w="1652" w:type="pct"/>
          <w:vAlign w:val="center"/>
        </w:tcPr>
        <w:p w:rsidR="00A64F28" w:rsidRPr="00201EED" w:rsidRDefault="00A64F28" w:rsidP="00870A8D">
          <w:pPr>
            <w:jc w:val="center"/>
            <w:rPr>
              <w:sz w:val="20"/>
              <w:szCs w:val="20"/>
            </w:rPr>
          </w:pPr>
        </w:p>
      </w:tc>
      <w:tc>
        <w:tcPr>
          <w:tcW w:w="1670" w:type="pct"/>
        </w:tcPr>
        <w:p w:rsidR="00A64F28" w:rsidRPr="00201EED" w:rsidRDefault="00A64F28" w:rsidP="00CD4744">
          <w:pPr>
            <w:jc w:val="center"/>
            <w:rPr>
              <w:sz w:val="20"/>
              <w:szCs w:val="20"/>
            </w:rPr>
          </w:pPr>
        </w:p>
      </w:tc>
      <w:tc>
        <w:tcPr>
          <w:tcW w:w="1677" w:type="pct"/>
        </w:tcPr>
        <w:p w:rsidR="00A64F28" w:rsidRPr="00201EED" w:rsidRDefault="00A64F28" w:rsidP="00CD4744">
          <w:pPr>
            <w:jc w:val="center"/>
            <w:rPr>
              <w:sz w:val="20"/>
              <w:szCs w:val="20"/>
            </w:rPr>
          </w:pPr>
        </w:p>
      </w:tc>
    </w:tr>
  </w:tbl>
  <w:p w:rsidR="00A64F28" w:rsidRDefault="00A64F28">
    <w:pPr>
      <w:pStyle w:val="llb"/>
      <w:jc w:val="center"/>
    </w:pPr>
    <w:r>
      <w:fldChar w:fldCharType="begin"/>
    </w:r>
    <w:r>
      <w:instrText>PAGE   \* MERGEFORMAT</w:instrText>
    </w:r>
    <w:r>
      <w:fldChar w:fldCharType="separate"/>
    </w:r>
    <w:r w:rsidR="006D70E9">
      <w:rPr>
        <w:noProof/>
      </w:rPr>
      <w:t>2</w:t>
    </w:r>
    <w:r>
      <w:rPr>
        <w:noProof/>
      </w:rPr>
      <w:fldChar w:fldCharType="end"/>
    </w:r>
  </w:p>
  <w:p w:rsidR="00A64F28" w:rsidRDefault="00A64F28" w:rsidP="002C1100">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3292"/>
      <w:gridCol w:w="3328"/>
      <w:gridCol w:w="3342"/>
    </w:tblGrid>
    <w:tr w:rsidR="00A64F28" w:rsidRPr="00201EED" w:rsidTr="00CD4744">
      <w:trPr>
        <w:trHeight w:val="476"/>
      </w:trPr>
      <w:tc>
        <w:tcPr>
          <w:tcW w:w="1652" w:type="pct"/>
          <w:vAlign w:val="center"/>
        </w:tcPr>
        <w:p w:rsidR="00A64F28" w:rsidRPr="00201EED" w:rsidRDefault="00A64F28" w:rsidP="00EC1E8B">
          <w:pPr>
            <w:jc w:val="center"/>
            <w:rPr>
              <w:sz w:val="20"/>
              <w:szCs w:val="20"/>
            </w:rPr>
          </w:pPr>
        </w:p>
      </w:tc>
      <w:tc>
        <w:tcPr>
          <w:tcW w:w="1670" w:type="pct"/>
        </w:tcPr>
        <w:p w:rsidR="00A64F28" w:rsidRPr="00201EED" w:rsidRDefault="00A64F28" w:rsidP="00CD4744">
          <w:pPr>
            <w:jc w:val="center"/>
            <w:rPr>
              <w:sz w:val="20"/>
              <w:szCs w:val="20"/>
            </w:rPr>
          </w:pPr>
        </w:p>
      </w:tc>
      <w:tc>
        <w:tcPr>
          <w:tcW w:w="1677" w:type="pct"/>
        </w:tcPr>
        <w:p w:rsidR="00A64F28" w:rsidRPr="00201EED" w:rsidRDefault="00A64F28" w:rsidP="00CD4744">
          <w:pPr>
            <w:jc w:val="center"/>
            <w:rPr>
              <w:sz w:val="20"/>
              <w:szCs w:val="20"/>
            </w:rPr>
          </w:pPr>
        </w:p>
      </w:tc>
    </w:tr>
  </w:tbl>
  <w:p w:rsidR="00A64F28" w:rsidRDefault="00A64F2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F28" w:rsidRDefault="00A64F28">
      <w:r>
        <w:separator/>
      </w:r>
    </w:p>
  </w:footnote>
  <w:footnote w:type="continuationSeparator" w:id="0">
    <w:p w:rsidR="00A64F28" w:rsidRDefault="00A64F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F28" w:rsidRPr="0020386A" w:rsidRDefault="00A64F28" w:rsidP="002C1100">
    <w:pPr>
      <w:pStyle w:val="lfej"/>
      <w:jc w:val="center"/>
      <w:rPr>
        <w:sz w:val="20"/>
        <w:szCs w:val="20"/>
      </w:rPr>
    </w:pPr>
    <w:r w:rsidRPr="0020386A">
      <w:rPr>
        <w:sz w:val="20"/>
        <w:szCs w:val="20"/>
      </w:rPr>
      <w:t>Az előterjesztést a Kormány nem tárgyalta meg, ezért az nem tekinthető a Kormány álláspontjának.</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D65" w:rsidRPr="00007D65" w:rsidRDefault="00007D65" w:rsidP="00007D65">
    <w:pPr>
      <w:pStyle w:val="lfej"/>
    </w:pPr>
  </w:p>
  <w:p w:rsidR="0061105A" w:rsidRPr="00007D65" w:rsidRDefault="00007D65" w:rsidP="00007D65">
    <w:pPr>
      <w:pStyle w:val="lfej"/>
      <w:jc w:val="center"/>
    </w:pPr>
    <w:r w:rsidRPr="00007D65">
      <w:t>A munkaanyag nem tekinthető a minisztérium végleges álláspontjának. TERVEZET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6B62"/>
    <w:multiLevelType w:val="hybridMultilevel"/>
    <w:tmpl w:val="9FC864DC"/>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nsid w:val="062026B3"/>
    <w:multiLevelType w:val="hybridMultilevel"/>
    <w:tmpl w:val="1836536E"/>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
    <w:nsid w:val="0C565F72"/>
    <w:multiLevelType w:val="hybridMultilevel"/>
    <w:tmpl w:val="DF1CF1F2"/>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
    <w:nsid w:val="0E8E080F"/>
    <w:multiLevelType w:val="hybridMultilevel"/>
    <w:tmpl w:val="DF8EF44C"/>
    <w:lvl w:ilvl="0" w:tplc="B7387466">
      <w:start w:val="1"/>
      <w:numFmt w:val="decimal"/>
      <w:lvlText w:val="%1)"/>
      <w:lvlJc w:val="left"/>
      <w:pPr>
        <w:ind w:left="461" w:hanging="360"/>
      </w:pPr>
      <w:rPr>
        <w:rFonts w:cs="Times New Roman" w:hint="default"/>
      </w:rPr>
    </w:lvl>
    <w:lvl w:ilvl="1" w:tplc="040E0019" w:tentative="1">
      <w:start w:val="1"/>
      <w:numFmt w:val="lowerLetter"/>
      <w:lvlText w:val="%2."/>
      <w:lvlJc w:val="left"/>
      <w:pPr>
        <w:ind w:left="1181" w:hanging="360"/>
      </w:pPr>
      <w:rPr>
        <w:rFonts w:cs="Times New Roman"/>
      </w:rPr>
    </w:lvl>
    <w:lvl w:ilvl="2" w:tplc="040E001B" w:tentative="1">
      <w:start w:val="1"/>
      <w:numFmt w:val="lowerRoman"/>
      <w:lvlText w:val="%3."/>
      <w:lvlJc w:val="right"/>
      <w:pPr>
        <w:ind w:left="1901" w:hanging="180"/>
      </w:pPr>
      <w:rPr>
        <w:rFonts w:cs="Times New Roman"/>
      </w:rPr>
    </w:lvl>
    <w:lvl w:ilvl="3" w:tplc="040E000F" w:tentative="1">
      <w:start w:val="1"/>
      <w:numFmt w:val="decimal"/>
      <w:lvlText w:val="%4."/>
      <w:lvlJc w:val="left"/>
      <w:pPr>
        <w:ind w:left="2621" w:hanging="360"/>
      </w:pPr>
      <w:rPr>
        <w:rFonts w:cs="Times New Roman"/>
      </w:rPr>
    </w:lvl>
    <w:lvl w:ilvl="4" w:tplc="040E0019" w:tentative="1">
      <w:start w:val="1"/>
      <w:numFmt w:val="lowerLetter"/>
      <w:lvlText w:val="%5."/>
      <w:lvlJc w:val="left"/>
      <w:pPr>
        <w:ind w:left="3341" w:hanging="360"/>
      </w:pPr>
      <w:rPr>
        <w:rFonts w:cs="Times New Roman"/>
      </w:rPr>
    </w:lvl>
    <w:lvl w:ilvl="5" w:tplc="040E001B" w:tentative="1">
      <w:start w:val="1"/>
      <w:numFmt w:val="lowerRoman"/>
      <w:lvlText w:val="%6."/>
      <w:lvlJc w:val="right"/>
      <w:pPr>
        <w:ind w:left="4061" w:hanging="180"/>
      </w:pPr>
      <w:rPr>
        <w:rFonts w:cs="Times New Roman"/>
      </w:rPr>
    </w:lvl>
    <w:lvl w:ilvl="6" w:tplc="040E000F" w:tentative="1">
      <w:start w:val="1"/>
      <w:numFmt w:val="decimal"/>
      <w:lvlText w:val="%7."/>
      <w:lvlJc w:val="left"/>
      <w:pPr>
        <w:ind w:left="4781" w:hanging="360"/>
      </w:pPr>
      <w:rPr>
        <w:rFonts w:cs="Times New Roman"/>
      </w:rPr>
    </w:lvl>
    <w:lvl w:ilvl="7" w:tplc="040E0019" w:tentative="1">
      <w:start w:val="1"/>
      <w:numFmt w:val="lowerLetter"/>
      <w:lvlText w:val="%8."/>
      <w:lvlJc w:val="left"/>
      <w:pPr>
        <w:ind w:left="5501" w:hanging="360"/>
      </w:pPr>
      <w:rPr>
        <w:rFonts w:cs="Times New Roman"/>
      </w:rPr>
    </w:lvl>
    <w:lvl w:ilvl="8" w:tplc="040E001B" w:tentative="1">
      <w:start w:val="1"/>
      <w:numFmt w:val="lowerRoman"/>
      <w:lvlText w:val="%9."/>
      <w:lvlJc w:val="right"/>
      <w:pPr>
        <w:ind w:left="6221" w:hanging="180"/>
      </w:pPr>
      <w:rPr>
        <w:rFonts w:cs="Times New Roman"/>
      </w:rPr>
    </w:lvl>
  </w:abstractNum>
  <w:abstractNum w:abstractNumId="4">
    <w:nsid w:val="0F380258"/>
    <w:multiLevelType w:val="hybridMultilevel"/>
    <w:tmpl w:val="94E81520"/>
    <w:lvl w:ilvl="0" w:tplc="0912750C">
      <w:start w:val="1"/>
      <w:numFmt w:val="decimal"/>
      <w:pStyle w:val="Jszszakasz"/>
      <w:suff w:val="space"/>
      <w:lvlText w:val="%1."/>
      <w:lvlJc w:val="left"/>
      <w:pPr>
        <w:ind w:left="4755" w:hanging="360"/>
      </w:pPr>
      <w:rPr>
        <w:rFonts w:ascii="Times New Roman félkövér" w:hAnsi="Times New Roman félkövér" w:cs="Times New Roman" w:hint="default"/>
        <w:b/>
        <w:i w:val="0"/>
        <w:sz w:val="24"/>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5">
    <w:nsid w:val="20244931"/>
    <w:multiLevelType w:val="hybridMultilevel"/>
    <w:tmpl w:val="FB684F18"/>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nsid w:val="2DFF394E"/>
    <w:multiLevelType w:val="hybridMultilevel"/>
    <w:tmpl w:val="678E357E"/>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7">
    <w:nsid w:val="350D623C"/>
    <w:multiLevelType w:val="hybridMultilevel"/>
    <w:tmpl w:val="DB609CB6"/>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8">
    <w:nsid w:val="3B990C3D"/>
    <w:multiLevelType w:val="hybridMultilevel"/>
    <w:tmpl w:val="5FB0571E"/>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nsid w:val="3EF21555"/>
    <w:multiLevelType w:val="hybridMultilevel"/>
    <w:tmpl w:val="944EF65C"/>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0">
    <w:nsid w:val="4EA315B9"/>
    <w:multiLevelType w:val="hybridMultilevel"/>
    <w:tmpl w:val="2A520C76"/>
    <w:lvl w:ilvl="0" w:tplc="F9FE522A">
      <w:start w:val="1"/>
      <w:numFmt w:val="bullet"/>
      <w:lvlText w:val="–"/>
      <w:lvlJc w:val="left"/>
      <w:pPr>
        <w:ind w:left="720" w:hanging="360"/>
      </w:pPr>
      <w:rPr>
        <w:rFonts w:ascii="Verdana" w:hAnsi="Verdan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53CE5866"/>
    <w:multiLevelType w:val="hybridMultilevel"/>
    <w:tmpl w:val="8C7CFA58"/>
    <w:lvl w:ilvl="0" w:tplc="F9FE522A">
      <w:start w:val="1"/>
      <w:numFmt w:val="bullet"/>
      <w:lvlText w:val="–"/>
      <w:lvlJc w:val="left"/>
      <w:pPr>
        <w:ind w:left="720" w:hanging="360"/>
      </w:pPr>
      <w:rPr>
        <w:rFonts w:ascii="Verdana" w:hAnsi="Verdan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5521112D"/>
    <w:multiLevelType w:val="hybridMultilevel"/>
    <w:tmpl w:val="1F16E1BE"/>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3">
    <w:nsid w:val="6A284694"/>
    <w:multiLevelType w:val="multilevel"/>
    <w:tmpl w:val="AB207CB6"/>
    <w:lvl w:ilvl="0">
      <w:start w:val="1"/>
      <w:numFmt w:val="decimal"/>
      <w:lvlText w:val="%1."/>
      <w:lvlJc w:val="left"/>
      <w:pPr>
        <w:tabs>
          <w:tab w:val="num" w:pos="7083"/>
        </w:tabs>
        <w:ind w:left="7083" w:hanging="420"/>
      </w:pPr>
      <w:rPr>
        <w:rFonts w:ascii="Times New Roman" w:hAnsi="Times New Roman" w:cs="Times New Roman"/>
      </w:rPr>
    </w:lvl>
    <w:lvl w:ilvl="1">
      <w:start w:val="1"/>
      <w:numFmt w:val="decimal"/>
      <w:lvlText w:val="%1.%2."/>
      <w:lvlJc w:val="left"/>
      <w:pPr>
        <w:tabs>
          <w:tab w:val="num" w:pos="420"/>
        </w:tabs>
        <w:ind w:left="420" w:hanging="420"/>
      </w:pPr>
      <w:rPr>
        <w:rFonts w:ascii="Times New Roman" w:hAnsi="Times New Roman" w:cs="Times New Roman"/>
      </w:rPr>
    </w:lvl>
    <w:lvl w:ilvl="2">
      <w:start w:val="1"/>
      <w:numFmt w:val="decimalZero"/>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14">
    <w:nsid w:val="77ED121F"/>
    <w:multiLevelType w:val="hybridMultilevel"/>
    <w:tmpl w:val="CA1ACDB2"/>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nsid w:val="7A711B37"/>
    <w:multiLevelType w:val="hybridMultilevel"/>
    <w:tmpl w:val="19F2AB1E"/>
    <w:lvl w:ilvl="0" w:tplc="2BB2A6F6">
      <w:start w:val="5"/>
      <w:numFmt w:val="bullet"/>
      <w:lvlText w:val="-"/>
      <w:lvlJc w:val="left"/>
      <w:pPr>
        <w:tabs>
          <w:tab w:val="num" w:pos="564"/>
        </w:tabs>
        <w:ind w:left="564" w:hanging="360"/>
      </w:pPr>
      <w:rPr>
        <w:rFonts w:ascii="Times New Roman" w:eastAsia="Times New Roman" w:hAnsi="Times New Roman" w:hint="default"/>
        <w:strike/>
      </w:rPr>
    </w:lvl>
    <w:lvl w:ilvl="1" w:tplc="040E0003" w:tentative="1">
      <w:start w:val="1"/>
      <w:numFmt w:val="bullet"/>
      <w:lvlText w:val="o"/>
      <w:lvlJc w:val="left"/>
      <w:pPr>
        <w:tabs>
          <w:tab w:val="num" w:pos="1284"/>
        </w:tabs>
        <w:ind w:left="1284" w:hanging="360"/>
      </w:pPr>
      <w:rPr>
        <w:rFonts w:ascii="Courier New" w:hAnsi="Courier New" w:hint="default"/>
      </w:rPr>
    </w:lvl>
    <w:lvl w:ilvl="2" w:tplc="040E0005" w:tentative="1">
      <w:start w:val="1"/>
      <w:numFmt w:val="bullet"/>
      <w:lvlText w:val=""/>
      <w:lvlJc w:val="left"/>
      <w:pPr>
        <w:tabs>
          <w:tab w:val="num" w:pos="2004"/>
        </w:tabs>
        <w:ind w:left="2004" w:hanging="360"/>
      </w:pPr>
      <w:rPr>
        <w:rFonts w:ascii="Wingdings" w:hAnsi="Wingdings" w:hint="default"/>
      </w:rPr>
    </w:lvl>
    <w:lvl w:ilvl="3" w:tplc="040E0001" w:tentative="1">
      <w:start w:val="1"/>
      <w:numFmt w:val="bullet"/>
      <w:lvlText w:val=""/>
      <w:lvlJc w:val="left"/>
      <w:pPr>
        <w:tabs>
          <w:tab w:val="num" w:pos="2724"/>
        </w:tabs>
        <w:ind w:left="2724" w:hanging="360"/>
      </w:pPr>
      <w:rPr>
        <w:rFonts w:ascii="Symbol" w:hAnsi="Symbol" w:hint="default"/>
      </w:rPr>
    </w:lvl>
    <w:lvl w:ilvl="4" w:tplc="040E0003" w:tentative="1">
      <w:start w:val="1"/>
      <w:numFmt w:val="bullet"/>
      <w:lvlText w:val="o"/>
      <w:lvlJc w:val="left"/>
      <w:pPr>
        <w:tabs>
          <w:tab w:val="num" w:pos="3444"/>
        </w:tabs>
        <w:ind w:left="3444" w:hanging="360"/>
      </w:pPr>
      <w:rPr>
        <w:rFonts w:ascii="Courier New" w:hAnsi="Courier New" w:hint="default"/>
      </w:rPr>
    </w:lvl>
    <w:lvl w:ilvl="5" w:tplc="040E0005" w:tentative="1">
      <w:start w:val="1"/>
      <w:numFmt w:val="bullet"/>
      <w:lvlText w:val=""/>
      <w:lvlJc w:val="left"/>
      <w:pPr>
        <w:tabs>
          <w:tab w:val="num" w:pos="4164"/>
        </w:tabs>
        <w:ind w:left="4164" w:hanging="360"/>
      </w:pPr>
      <w:rPr>
        <w:rFonts w:ascii="Wingdings" w:hAnsi="Wingdings" w:hint="default"/>
      </w:rPr>
    </w:lvl>
    <w:lvl w:ilvl="6" w:tplc="040E0001" w:tentative="1">
      <w:start w:val="1"/>
      <w:numFmt w:val="bullet"/>
      <w:lvlText w:val=""/>
      <w:lvlJc w:val="left"/>
      <w:pPr>
        <w:tabs>
          <w:tab w:val="num" w:pos="4884"/>
        </w:tabs>
        <w:ind w:left="4884" w:hanging="360"/>
      </w:pPr>
      <w:rPr>
        <w:rFonts w:ascii="Symbol" w:hAnsi="Symbol" w:hint="default"/>
      </w:rPr>
    </w:lvl>
    <w:lvl w:ilvl="7" w:tplc="040E0003" w:tentative="1">
      <w:start w:val="1"/>
      <w:numFmt w:val="bullet"/>
      <w:lvlText w:val="o"/>
      <w:lvlJc w:val="left"/>
      <w:pPr>
        <w:tabs>
          <w:tab w:val="num" w:pos="5604"/>
        </w:tabs>
        <w:ind w:left="5604" w:hanging="360"/>
      </w:pPr>
      <w:rPr>
        <w:rFonts w:ascii="Courier New" w:hAnsi="Courier New" w:hint="default"/>
      </w:rPr>
    </w:lvl>
    <w:lvl w:ilvl="8" w:tplc="040E0005" w:tentative="1">
      <w:start w:val="1"/>
      <w:numFmt w:val="bullet"/>
      <w:lvlText w:val=""/>
      <w:lvlJc w:val="left"/>
      <w:pPr>
        <w:tabs>
          <w:tab w:val="num" w:pos="6324"/>
        </w:tabs>
        <w:ind w:left="6324"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12"/>
  </w:num>
  <w:num w:numId="5">
    <w:abstractNumId w:val="9"/>
  </w:num>
  <w:num w:numId="6">
    <w:abstractNumId w:val="6"/>
  </w:num>
  <w:num w:numId="7">
    <w:abstractNumId w:val="1"/>
  </w:num>
  <w:num w:numId="8">
    <w:abstractNumId w:val="14"/>
  </w:num>
  <w:num w:numId="9">
    <w:abstractNumId w:val="7"/>
  </w:num>
  <w:num w:numId="10">
    <w:abstractNumId w:val="5"/>
  </w:num>
  <w:num w:numId="11">
    <w:abstractNumId w:val="2"/>
  </w:num>
  <w:num w:numId="12">
    <w:abstractNumId w:val="8"/>
  </w:num>
  <w:num w:numId="13">
    <w:abstractNumId w:val="15"/>
  </w:num>
  <w:num w:numId="14">
    <w:abstractNumId w:val="3"/>
  </w:num>
  <w:num w:numId="15">
    <w:abstractNumId w:val="4"/>
    <w:lvlOverride w:ilvl="0">
      <w:startOverride w:val="59"/>
    </w:lvlOverride>
  </w:num>
  <w:num w:numId="16">
    <w:abstractNumId w:val="4"/>
    <w:lvlOverride w:ilvl="0">
      <w:startOverride w:val="59"/>
    </w:lvlOverride>
  </w:num>
  <w:num w:numId="17">
    <w:abstractNumId w:val="10"/>
  </w:num>
  <w:num w:numId="18">
    <w:abstractNumId w:val="11"/>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r. Monostori Zsanett">
    <w15:presenceInfo w15:providerId="AD" w15:userId="S-1-5-21-168676253-1433937204-558244729-111049"/>
  </w15:person>
  <w15:person w15:author="Dr. Firnigel Edit">
    <w15:presenceInfo w15:providerId="AD" w15:userId="S-1-5-21-168676253-1433937204-558244729-264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973"/>
    <w:rsid w:val="00000DB0"/>
    <w:rsid w:val="00004CE2"/>
    <w:rsid w:val="00007D65"/>
    <w:rsid w:val="000125CE"/>
    <w:rsid w:val="000201FF"/>
    <w:rsid w:val="00020E54"/>
    <w:rsid w:val="000237A7"/>
    <w:rsid w:val="0002612B"/>
    <w:rsid w:val="00030198"/>
    <w:rsid w:val="00030E00"/>
    <w:rsid w:val="0003182E"/>
    <w:rsid w:val="00032584"/>
    <w:rsid w:val="00036C87"/>
    <w:rsid w:val="00041334"/>
    <w:rsid w:val="00042301"/>
    <w:rsid w:val="0004295B"/>
    <w:rsid w:val="00044BCC"/>
    <w:rsid w:val="000470E7"/>
    <w:rsid w:val="00047FD5"/>
    <w:rsid w:val="00052941"/>
    <w:rsid w:val="00052B25"/>
    <w:rsid w:val="000547E5"/>
    <w:rsid w:val="00060D2B"/>
    <w:rsid w:val="00061751"/>
    <w:rsid w:val="00063527"/>
    <w:rsid w:val="00063D14"/>
    <w:rsid w:val="00063EB7"/>
    <w:rsid w:val="00064322"/>
    <w:rsid w:val="00065FD7"/>
    <w:rsid w:val="000666EA"/>
    <w:rsid w:val="000668B5"/>
    <w:rsid w:val="00071122"/>
    <w:rsid w:val="000726BA"/>
    <w:rsid w:val="000728F6"/>
    <w:rsid w:val="00073CCC"/>
    <w:rsid w:val="00076996"/>
    <w:rsid w:val="0008177C"/>
    <w:rsid w:val="00087FD5"/>
    <w:rsid w:val="00090ED4"/>
    <w:rsid w:val="000914BD"/>
    <w:rsid w:val="00093146"/>
    <w:rsid w:val="00094665"/>
    <w:rsid w:val="00097A08"/>
    <w:rsid w:val="000A3ADE"/>
    <w:rsid w:val="000A4819"/>
    <w:rsid w:val="000A6B41"/>
    <w:rsid w:val="000B0164"/>
    <w:rsid w:val="000B0F83"/>
    <w:rsid w:val="000B43A6"/>
    <w:rsid w:val="000C132E"/>
    <w:rsid w:val="000C4B29"/>
    <w:rsid w:val="000C66C1"/>
    <w:rsid w:val="000D0532"/>
    <w:rsid w:val="000D1D33"/>
    <w:rsid w:val="000D332F"/>
    <w:rsid w:val="000D349F"/>
    <w:rsid w:val="000D40C9"/>
    <w:rsid w:val="000D4440"/>
    <w:rsid w:val="000D4819"/>
    <w:rsid w:val="000D4F05"/>
    <w:rsid w:val="000D71E6"/>
    <w:rsid w:val="000E16C5"/>
    <w:rsid w:val="000E180A"/>
    <w:rsid w:val="000E2018"/>
    <w:rsid w:val="000E41E9"/>
    <w:rsid w:val="000E4DE7"/>
    <w:rsid w:val="000F0DB9"/>
    <w:rsid w:val="000F122F"/>
    <w:rsid w:val="000F18BB"/>
    <w:rsid w:val="000F2234"/>
    <w:rsid w:val="000F2E83"/>
    <w:rsid w:val="000F46E9"/>
    <w:rsid w:val="000F5C01"/>
    <w:rsid w:val="000F6B97"/>
    <w:rsid w:val="000F724E"/>
    <w:rsid w:val="000F76B5"/>
    <w:rsid w:val="00101CFE"/>
    <w:rsid w:val="00102015"/>
    <w:rsid w:val="00103FE0"/>
    <w:rsid w:val="0010521B"/>
    <w:rsid w:val="00107BB1"/>
    <w:rsid w:val="00112821"/>
    <w:rsid w:val="001130CB"/>
    <w:rsid w:val="001131CB"/>
    <w:rsid w:val="00113AAE"/>
    <w:rsid w:val="00113B44"/>
    <w:rsid w:val="0011461C"/>
    <w:rsid w:val="0011517C"/>
    <w:rsid w:val="0011703B"/>
    <w:rsid w:val="001203CF"/>
    <w:rsid w:val="00121A1E"/>
    <w:rsid w:val="00123616"/>
    <w:rsid w:val="00127785"/>
    <w:rsid w:val="00130962"/>
    <w:rsid w:val="0013230F"/>
    <w:rsid w:val="00132D8A"/>
    <w:rsid w:val="00133A4D"/>
    <w:rsid w:val="00140191"/>
    <w:rsid w:val="001410A6"/>
    <w:rsid w:val="00141DA4"/>
    <w:rsid w:val="00144324"/>
    <w:rsid w:val="00145875"/>
    <w:rsid w:val="001501E5"/>
    <w:rsid w:val="00151389"/>
    <w:rsid w:val="00153981"/>
    <w:rsid w:val="001571A5"/>
    <w:rsid w:val="001606B3"/>
    <w:rsid w:val="00160D36"/>
    <w:rsid w:val="00162153"/>
    <w:rsid w:val="00163CB6"/>
    <w:rsid w:val="0016467A"/>
    <w:rsid w:val="00167762"/>
    <w:rsid w:val="00167C2A"/>
    <w:rsid w:val="00167E76"/>
    <w:rsid w:val="001709EA"/>
    <w:rsid w:val="0017155B"/>
    <w:rsid w:val="00172272"/>
    <w:rsid w:val="00173483"/>
    <w:rsid w:val="001765D3"/>
    <w:rsid w:val="00177107"/>
    <w:rsid w:val="00186180"/>
    <w:rsid w:val="00186B2B"/>
    <w:rsid w:val="001879CE"/>
    <w:rsid w:val="00187D87"/>
    <w:rsid w:val="0019029B"/>
    <w:rsid w:val="00191683"/>
    <w:rsid w:val="00193ADB"/>
    <w:rsid w:val="0019737C"/>
    <w:rsid w:val="001977F7"/>
    <w:rsid w:val="001A0907"/>
    <w:rsid w:val="001A0E2F"/>
    <w:rsid w:val="001A0F2E"/>
    <w:rsid w:val="001A116A"/>
    <w:rsid w:val="001B0161"/>
    <w:rsid w:val="001B1A17"/>
    <w:rsid w:val="001B3DBE"/>
    <w:rsid w:val="001B4714"/>
    <w:rsid w:val="001B4C27"/>
    <w:rsid w:val="001B7DEF"/>
    <w:rsid w:val="001C14FF"/>
    <w:rsid w:val="001C1871"/>
    <w:rsid w:val="001C220E"/>
    <w:rsid w:val="001C319A"/>
    <w:rsid w:val="001C4EA3"/>
    <w:rsid w:val="001C50D0"/>
    <w:rsid w:val="001D119F"/>
    <w:rsid w:val="001D11BE"/>
    <w:rsid w:val="001D536D"/>
    <w:rsid w:val="001E31EF"/>
    <w:rsid w:val="001E5BF4"/>
    <w:rsid w:val="001F0A00"/>
    <w:rsid w:val="001F2C83"/>
    <w:rsid w:val="001F484B"/>
    <w:rsid w:val="001F4FF4"/>
    <w:rsid w:val="001F51D8"/>
    <w:rsid w:val="001F56AF"/>
    <w:rsid w:val="001F7B98"/>
    <w:rsid w:val="002019C5"/>
    <w:rsid w:val="0020386A"/>
    <w:rsid w:val="0020479E"/>
    <w:rsid w:val="002055B9"/>
    <w:rsid w:val="002058B2"/>
    <w:rsid w:val="0021402A"/>
    <w:rsid w:val="00215D36"/>
    <w:rsid w:val="00216B3C"/>
    <w:rsid w:val="00216CE1"/>
    <w:rsid w:val="00217B08"/>
    <w:rsid w:val="002211F0"/>
    <w:rsid w:val="0022494B"/>
    <w:rsid w:val="00225008"/>
    <w:rsid w:val="0022563C"/>
    <w:rsid w:val="00225DD7"/>
    <w:rsid w:val="00227C6F"/>
    <w:rsid w:val="002307F8"/>
    <w:rsid w:val="00235E65"/>
    <w:rsid w:val="00237752"/>
    <w:rsid w:val="00237E2D"/>
    <w:rsid w:val="00240157"/>
    <w:rsid w:val="00241F43"/>
    <w:rsid w:val="002433D5"/>
    <w:rsid w:val="00243965"/>
    <w:rsid w:val="00244655"/>
    <w:rsid w:val="0024481C"/>
    <w:rsid w:val="002458B4"/>
    <w:rsid w:val="00250C93"/>
    <w:rsid w:val="00250CDB"/>
    <w:rsid w:val="00251870"/>
    <w:rsid w:val="00252FE2"/>
    <w:rsid w:val="00254501"/>
    <w:rsid w:val="00254655"/>
    <w:rsid w:val="00255934"/>
    <w:rsid w:val="0026039E"/>
    <w:rsid w:val="0026111F"/>
    <w:rsid w:val="0026168C"/>
    <w:rsid w:val="00261A17"/>
    <w:rsid w:val="00263EC7"/>
    <w:rsid w:val="0026446E"/>
    <w:rsid w:val="00266E9A"/>
    <w:rsid w:val="00270DBE"/>
    <w:rsid w:val="00274E7F"/>
    <w:rsid w:val="00275599"/>
    <w:rsid w:val="00275D45"/>
    <w:rsid w:val="00277585"/>
    <w:rsid w:val="0028075C"/>
    <w:rsid w:val="00280A49"/>
    <w:rsid w:val="0028124C"/>
    <w:rsid w:val="00282674"/>
    <w:rsid w:val="00283E48"/>
    <w:rsid w:val="0028692A"/>
    <w:rsid w:val="00290A75"/>
    <w:rsid w:val="00290DEB"/>
    <w:rsid w:val="002930BB"/>
    <w:rsid w:val="00293769"/>
    <w:rsid w:val="00295252"/>
    <w:rsid w:val="00297FC9"/>
    <w:rsid w:val="002A01F7"/>
    <w:rsid w:val="002A350C"/>
    <w:rsid w:val="002A4633"/>
    <w:rsid w:val="002B01CC"/>
    <w:rsid w:val="002B090E"/>
    <w:rsid w:val="002B15D3"/>
    <w:rsid w:val="002B1B2A"/>
    <w:rsid w:val="002B1C58"/>
    <w:rsid w:val="002B367E"/>
    <w:rsid w:val="002B4CAE"/>
    <w:rsid w:val="002B6DA2"/>
    <w:rsid w:val="002B763F"/>
    <w:rsid w:val="002B7910"/>
    <w:rsid w:val="002C013D"/>
    <w:rsid w:val="002C0469"/>
    <w:rsid w:val="002C1100"/>
    <w:rsid w:val="002C2AC5"/>
    <w:rsid w:val="002C3E8F"/>
    <w:rsid w:val="002C417C"/>
    <w:rsid w:val="002C6A19"/>
    <w:rsid w:val="002D0DB5"/>
    <w:rsid w:val="002D15F7"/>
    <w:rsid w:val="002D2710"/>
    <w:rsid w:val="002D39B6"/>
    <w:rsid w:val="002D4D29"/>
    <w:rsid w:val="002D6570"/>
    <w:rsid w:val="002D659D"/>
    <w:rsid w:val="002E1484"/>
    <w:rsid w:val="002E1C8F"/>
    <w:rsid w:val="002E2003"/>
    <w:rsid w:val="002E20B7"/>
    <w:rsid w:val="002E2EFC"/>
    <w:rsid w:val="002E360A"/>
    <w:rsid w:val="002E48FF"/>
    <w:rsid w:val="002E67A4"/>
    <w:rsid w:val="002F0780"/>
    <w:rsid w:val="002F08B0"/>
    <w:rsid w:val="002F2B67"/>
    <w:rsid w:val="002F37D9"/>
    <w:rsid w:val="002F3806"/>
    <w:rsid w:val="002F3B19"/>
    <w:rsid w:val="002F4953"/>
    <w:rsid w:val="0030005A"/>
    <w:rsid w:val="003005CF"/>
    <w:rsid w:val="0030327D"/>
    <w:rsid w:val="00307D80"/>
    <w:rsid w:val="00311917"/>
    <w:rsid w:val="003127D2"/>
    <w:rsid w:val="0031393C"/>
    <w:rsid w:val="00316B1B"/>
    <w:rsid w:val="003206AB"/>
    <w:rsid w:val="00322229"/>
    <w:rsid w:val="00322315"/>
    <w:rsid w:val="00323AD8"/>
    <w:rsid w:val="003251B5"/>
    <w:rsid w:val="00325FC1"/>
    <w:rsid w:val="00327E2F"/>
    <w:rsid w:val="00330D1B"/>
    <w:rsid w:val="00331A8C"/>
    <w:rsid w:val="003331D5"/>
    <w:rsid w:val="003335FC"/>
    <w:rsid w:val="00334977"/>
    <w:rsid w:val="0033648D"/>
    <w:rsid w:val="003369C0"/>
    <w:rsid w:val="003369EB"/>
    <w:rsid w:val="003423E6"/>
    <w:rsid w:val="0034287C"/>
    <w:rsid w:val="00342DF4"/>
    <w:rsid w:val="0034430E"/>
    <w:rsid w:val="003474BC"/>
    <w:rsid w:val="00350003"/>
    <w:rsid w:val="003528A8"/>
    <w:rsid w:val="00356222"/>
    <w:rsid w:val="003640FE"/>
    <w:rsid w:val="00367FA6"/>
    <w:rsid w:val="00370F19"/>
    <w:rsid w:val="00371891"/>
    <w:rsid w:val="00371C45"/>
    <w:rsid w:val="003739A1"/>
    <w:rsid w:val="003745CA"/>
    <w:rsid w:val="00374B19"/>
    <w:rsid w:val="00374F63"/>
    <w:rsid w:val="003771E5"/>
    <w:rsid w:val="00380A61"/>
    <w:rsid w:val="0038184B"/>
    <w:rsid w:val="00381FE8"/>
    <w:rsid w:val="003839B6"/>
    <w:rsid w:val="0038413F"/>
    <w:rsid w:val="003846E4"/>
    <w:rsid w:val="00387052"/>
    <w:rsid w:val="0039083A"/>
    <w:rsid w:val="00390CB1"/>
    <w:rsid w:val="0039217E"/>
    <w:rsid w:val="003952F0"/>
    <w:rsid w:val="00395F23"/>
    <w:rsid w:val="003A07F7"/>
    <w:rsid w:val="003A3EED"/>
    <w:rsid w:val="003A40EA"/>
    <w:rsid w:val="003A585C"/>
    <w:rsid w:val="003A6E4E"/>
    <w:rsid w:val="003B029E"/>
    <w:rsid w:val="003B24D2"/>
    <w:rsid w:val="003B3018"/>
    <w:rsid w:val="003B5770"/>
    <w:rsid w:val="003B5F31"/>
    <w:rsid w:val="003B728A"/>
    <w:rsid w:val="003C2349"/>
    <w:rsid w:val="003C355F"/>
    <w:rsid w:val="003C3AB6"/>
    <w:rsid w:val="003C5BBE"/>
    <w:rsid w:val="003C5D7F"/>
    <w:rsid w:val="003D12A9"/>
    <w:rsid w:val="003D4EFE"/>
    <w:rsid w:val="003D6B7E"/>
    <w:rsid w:val="003D757E"/>
    <w:rsid w:val="003E0437"/>
    <w:rsid w:val="003E16DD"/>
    <w:rsid w:val="003E33C6"/>
    <w:rsid w:val="003E3522"/>
    <w:rsid w:val="003E6415"/>
    <w:rsid w:val="003E7758"/>
    <w:rsid w:val="003E78F4"/>
    <w:rsid w:val="003F0684"/>
    <w:rsid w:val="003F09FB"/>
    <w:rsid w:val="003F14DD"/>
    <w:rsid w:val="003F3A34"/>
    <w:rsid w:val="003F3ACA"/>
    <w:rsid w:val="003F6860"/>
    <w:rsid w:val="003F75CC"/>
    <w:rsid w:val="004018C9"/>
    <w:rsid w:val="00401DE9"/>
    <w:rsid w:val="004031F9"/>
    <w:rsid w:val="004069C7"/>
    <w:rsid w:val="00406DFF"/>
    <w:rsid w:val="00406E28"/>
    <w:rsid w:val="00411649"/>
    <w:rsid w:val="00411939"/>
    <w:rsid w:val="00412098"/>
    <w:rsid w:val="00412A93"/>
    <w:rsid w:val="00412EAB"/>
    <w:rsid w:val="00413451"/>
    <w:rsid w:val="00413A20"/>
    <w:rsid w:val="004141AD"/>
    <w:rsid w:val="00417585"/>
    <w:rsid w:val="00417F7E"/>
    <w:rsid w:val="00420C94"/>
    <w:rsid w:val="00423B5E"/>
    <w:rsid w:val="004240F9"/>
    <w:rsid w:val="004245D6"/>
    <w:rsid w:val="00424714"/>
    <w:rsid w:val="00425040"/>
    <w:rsid w:val="00425A8A"/>
    <w:rsid w:val="0042601C"/>
    <w:rsid w:val="00427D55"/>
    <w:rsid w:val="00430851"/>
    <w:rsid w:val="0043187D"/>
    <w:rsid w:val="00431BA7"/>
    <w:rsid w:val="00436D12"/>
    <w:rsid w:val="00440666"/>
    <w:rsid w:val="00443660"/>
    <w:rsid w:val="004501B4"/>
    <w:rsid w:val="00451B08"/>
    <w:rsid w:val="004540B3"/>
    <w:rsid w:val="00454604"/>
    <w:rsid w:val="00454CD8"/>
    <w:rsid w:val="0045588A"/>
    <w:rsid w:val="00462DFB"/>
    <w:rsid w:val="004657C3"/>
    <w:rsid w:val="00466BE9"/>
    <w:rsid w:val="00467268"/>
    <w:rsid w:val="004729B1"/>
    <w:rsid w:val="004738BE"/>
    <w:rsid w:val="0047479F"/>
    <w:rsid w:val="0047569A"/>
    <w:rsid w:val="0047601F"/>
    <w:rsid w:val="00483272"/>
    <w:rsid w:val="004836D1"/>
    <w:rsid w:val="004848E3"/>
    <w:rsid w:val="00484B21"/>
    <w:rsid w:val="00485236"/>
    <w:rsid w:val="00486AD9"/>
    <w:rsid w:val="0049320C"/>
    <w:rsid w:val="0049478F"/>
    <w:rsid w:val="00495831"/>
    <w:rsid w:val="004A04B6"/>
    <w:rsid w:val="004A2E00"/>
    <w:rsid w:val="004A35E7"/>
    <w:rsid w:val="004A39BD"/>
    <w:rsid w:val="004A627B"/>
    <w:rsid w:val="004A6471"/>
    <w:rsid w:val="004A782C"/>
    <w:rsid w:val="004A7E18"/>
    <w:rsid w:val="004B0775"/>
    <w:rsid w:val="004B1728"/>
    <w:rsid w:val="004B3383"/>
    <w:rsid w:val="004B3516"/>
    <w:rsid w:val="004B4692"/>
    <w:rsid w:val="004B4FD9"/>
    <w:rsid w:val="004B58BE"/>
    <w:rsid w:val="004C07C0"/>
    <w:rsid w:val="004C0C54"/>
    <w:rsid w:val="004C11BC"/>
    <w:rsid w:val="004C15A8"/>
    <w:rsid w:val="004C37E9"/>
    <w:rsid w:val="004C3889"/>
    <w:rsid w:val="004C3F4A"/>
    <w:rsid w:val="004C6004"/>
    <w:rsid w:val="004D09A3"/>
    <w:rsid w:val="004D0FA8"/>
    <w:rsid w:val="004D2674"/>
    <w:rsid w:val="004D4D45"/>
    <w:rsid w:val="004D62F2"/>
    <w:rsid w:val="004D772E"/>
    <w:rsid w:val="004D78DC"/>
    <w:rsid w:val="004E01C9"/>
    <w:rsid w:val="004E1266"/>
    <w:rsid w:val="004E29F5"/>
    <w:rsid w:val="004E33CF"/>
    <w:rsid w:val="004E3DBC"/>
    <w:rsid w:val="004E3E53"/>
    <w:rsid w:val="004E4B77"/>
    <w:rsid w:val="004E5D44"/>
    <w:rsid w:val="004E635C"/>
    <w:rsid w:val="004F1199"/>
    <w:rsid w:val="004F3F05"/>
    <w:rsid w:val="004F454A"/>
    <w:rsid w:val="004F51FF"/>
    <w:rsid w:val="004F7151"/>
    <w:rsid w:val="00500E96"/>
    <w:rsid w:val="005050E5"/>
    <w:rsid w:val="00505185"/>
    <w:rsid w:val="00513F19"/>
    <w:rsid w:val="005145BA"/>
    <w:rsid w:val="00516F81"/>
    <w:rsid w:val="00517BFC"/>
    <w:rsid w:val="00521E12"/>
    <w:rsid w:val="00522BC4"/>
    <w:rsid w:val="00524499"/>
    <w:rsid w:val="00525066"/>
    <w:rsid w:val="00525D9C"/>
    <w:rsid w:val="00526260"/>
    <w:rsid w:val="005307B3"/>
    <w:rsid w:val="005323A5"/>
    <w:rsid w:val="00532BC5"/>
    <w:rsid w:val="00533CF8"/>
    <w:rsid w:val="005343D5"/>
    <w:rsid w:val="005345B3"/>
    <w:rsid w:val="00534DB7"/>
    <w:rsid w:val="0053724B"/>
    <w:rsid w:val="005378DA"/>
    <w:rsid w:val="005415AC"/>
    <w:rsid w:val="0054252B"/>
    <w:rsid w:val="0054265B"/>
    <w:rsid w:val="005438E5"/>
    <w:rsid w:val="00544127"/>
    <w:rsid w:val="0054505F"/>
    <w:rsid w:val="00547F57"/>
    <w:rsid w:val="005504BF"/>
    <w:rsid w:val="00550E41"/>
    <w:rsid w:val="00552ED0"/>
    <w:rsid w:val="005556CF"/>
    <w:rsid w:val="00555A56"/>
    <w:rsid w:val="00561DD8"/>
    <w:rsid w:val="00563305"/>
    <w:rsid w:val="005638A3"/>
    <w:rsid w:val="005700D1"/>
    <w:rsid w:val="0057102B"/>
    <w:rsid w:val="005714C7"/>
    <w:rsid w:val="0057181C"/>
    <w:rsid w:val="00572137"/>
    <w:rsid w:val="00574A54"/>
    <w:rsid w:val="00577008"/>
    <w:rsid w:val="00581930"/>
    <w:rsid w:val="005908C8"/>
    <w:rsid w:val="0059210C"/>
    <w:rsid w:val="00592257"/>
    <w:rsid w:val="00595B18"/>
    <w:rsid w:val="00596FB1"/>
    <w:rsid w:val="005A29A1"/>
    <w:rsid w:val="005A3D20"/>
    <w:rsid w:val="005B18D7"/>
    <w:rsid w:val="005B23CE"/>
    <w:rsid w:val="005B2573"/>
    <w:rsid w:val="005B415B"/>
    <w:rsid w:val="005B6D4F"/>
    <w:rsid w:val="005B785B"/>
    <w:rsid w:val="005C2C73"/>
    <w:rsid w:val="005C3FE1"/>
    <w:rsid w:val="005C4749"/>
    <w:rsid w:val="005C4B94"/>
    <w:rsid w:val="005C51D8"/>
    <w:rsid w:val="005C5A53"/>
    <w:rsid w:val="005C61E2"/>
    <w:rsid w:val="005C6B5F"/>
    <w:rsid w:val="005D3436"/>
    <w:rsid w:val="005D5FEB"/>
    <w:rsid w:val="005E623E"/>
    <w:rsid w:val="005E744F"/>
    <w:rsid w:val="005E75A6"/>
    <w:rsid w:val="005F2B24"/>
    <w:rsid w:val="005F690E"/>
    <w:rsid w:val="005F72AA"/>
    <w:rsid w:val="00603C94"/>
    <w:rsid w:val="00604BE1"/>
    <w:rsid w:val="006062BC"/>
    <w:rsid w:val="00607134"/>
    <w:rsid w:val="00610CA4"/>
    <w:rsid w:val="00611052"/>
    <w:rsid w:val="0061105A"/>
    <w:rsid w:val="00611449"/>
    <w:rsid w:val="00617920"/>
    <w:rsid w:val="006222ED"/>
    <w:rsid w:val="006223EB"/>
    <w:rsid w:val="006238FA"/>
    <w:rsid w:val="00625524"/>
    <w:rsid w:val="006339E0"/>
    <w:rsid w:val="006341D9"/>
    <w:rsid w:val="00634983"/>
    <w:rsid w:val="00634A8A"/>
    <w:rsid w:val="0063584B"/>
    <w:rsid w:val="00636369"/>
    <w:rsid w:val="0063686E"/>
    <w:rsid w:val="00637E76"/>
    <w:rsid w:val="006417B7"/>
    <w:rsid w:val="00641815"/>
    <w:rsid w:val="006428F1"/>
    <w:rsid w:val="00644815"/>
    <w:rsid w:val="00647658"/>
    <w:rsid w:val="0065155A"/>
    <w:rsid w:val="0065170C"/>
    <w:rsid w:val="00651DA4"/>
    <w:rsid w:val="00653721"/>
    <w:rsid w:val="006567C5"/>
    <w:rsid w:val="00656D75"/>
    <w:rsid w:val="0065745D"/>
    <w:rsid w:val="0066258F"/>
    <w:rsid w:val="00662604"/>
    <w:rsid w:val="00662D73"/>
    <w:rsid w:val="00663470"/>
    <w:rsid w:val="00663FF1"/>
    <w:rsid w:val="0066452B"/>
    <w:rsid w:val="006653F8"/>
    <w:rsid w:val="006653FF"/>
    <w:rsid w:val="0066603D"/>
    <w:rsid w:val="0067190E"/>
    <w:rsid w:val="00671B83"/>
    <w:rsid w:val="00674241"/>
    <w:rsid w:val="0067499A"/>
    <w:rsid w:val="00674C25"/>
    <w:rsid w:val="00680FF2"/>
    <w:rsid w:val="00681149"/>
    <w:rsid w:val="00682518"/>
    <w:rsid w:val="00682C7E"/>
    <w:rsid w:val="00684D1E"/>
    <w:rsid w:val="0068618D"/>
    <w:rsid w:val="00690EE4"/>
    <w:rsid w:val="00693F0E"/>
    <w:rsid w:val="006940A5"/>
    <w:rsid w:val="00695CA7"/>
    <w:rsid w:val="00695EEF"/>
    <w:rsid w:val="00696550"/>
    <w:rsid w:val="006A12C4"/>
    <w:rsid w:val="006A1487"/>
    <w:rsid w:val="006A31CF"/>
    <w:rsid w:val="006A332D"/>
    <w:rsid w:val="006A3AF6"/>
    <w:rsid w:val="006A411D"/>
    <w:rsid w:val="006A4FCA"/>
    <w:rsid w:val="006B01A1"/>
    <w:rsid w:val="006B01C1"/>
    <w:rsid w:val="006B3106"/>
    <w:rsid w:val="006B3140"/>
    <w:rsid w:val="006B33E3"/>
    <w:rsid w:val="006B3A21"/>
    <w:rsid w:val="006B46DD"/>
    <w:rsid w:val="006B4EB8"/>
    <w:rsid w:val="006B4FF2"/>
    <w:rsid w:val="006B5117"/>
    <w:rsid w:val="006B63D7"/>
    <w:rsid w:val="006B65B8"/>
    <w:rsid w:val="006B6E33"/>
    <w:rsid w:val="006B7C00"/>
    <w:rsid w:val="006C06AE"/>
    <w:rsid w:val="006C30D1"/>
    <w:rsid w:val="006C4F23"/>
    <w:rsid w:val="006D1B33"/>
    <w:rsid w:val="006D2656"/>
    <w:rsid w:val="006D6FB9"/>
    <w:rsid w:val="006D70E9"/>
    <w:rsid w:val="006D7AA8"/>
    <w:rsid w:val="006D7AAD"/>
    <w:rsid w:val="006D7EEE"/>
    <w:rsid w:val="006E2955"/>
    <w:rsid w:val="006E41D5"/>
    <w:rsid w:val="006E4FF5"/>
    <w:rsid w:val="006E784A"/>
    <w:rsid w:val="006F3F7B"/>
    <w:rsid w:val="006F3FDF"/>
    <w:rsid w:val="006F7FD7"/>
    <w:rsid w:val="0070050F"/>
    <w:rsid w:val="0070218D"/>
    <w:rsid w:val="00702921"/>
    <w:rsid w:val="00702B63"/>
    <w:rsid w:val="0070415D"/>
    <w:rsid w:val="007043D8"/>
    <w:rsid w:val="0070526B"/>
    <w:rsid w:val="00705C35"/>
    <w:rsid w:val="00706B53"/>
    <w:rsid w:val="00711493"/>
    <w:rsid w:val="00711D1B"/>
    <w:rsid w:val="00712960"/>
    <w:rsid w:val="007148C7"/>
    <w:rsid w:val="00714F3D"/>
    <w:rsid w:val="0071536A"/>
    <w:rsid w:val="0071539F"/>
    <w:rsid w:val="0071622D"/>
    <w:rsid w:val="00717C57"/>
    <w:rsid w:val="00724153"/>
    <w:rsid w:val="00725850"/>
    <w:rsid w:val="007264D0"/>
    <w:rsid w:val="00727A57"/>
    <w:rsid w:val="00727B3E"/>
    <w:rsid w:val="00730955"/>
    <w:rsid w:val="0073206A"/>
    <w:rsid w:val="00732C08"/>
    <w:rsid w:val="00734C58"/>
    <w:rsid w:val="007352E6"/>
    <w:rsid w:val="00736B35"/>
    <w:rsid w:val="00737360"/>
    <w:rsid w:val="00737963"/>
    <w:rsid w:val="00740F79"/>
    <w:rsid w:val="007412B5"/>
    <w:rsid w:val="00741D2A"/>
    <w:rsid w:val="00742068"/>
    <w:rsid w:val="00750507"/>
    <w:rsid w:val="00752915"/>
    <w:rsid w:val="007535FC"/>
    <w:rsid w:val="0075456E"/>
    <w:rsid w:val="0075736F"/>
    <w:rsid w:val="0075791F"/>
    <w:rsid w:val="007611E6"/>
    <w:rsid w:val="00762AFD"/>
    <w:rsid w:val="007631F1"/>
    <w:rsid w:val="00764570"/>
    <w:rsid w:val="00764863"/>
    <w:rsid w:val="00764FE0"/>
    <w:rsid w:val="00765E38"/>
    <w:rsid w:val="00770986"/>
    <w:rsid w:val="00772F97"/>
    <w:rsid w:val="0077512F"/>
    <w:rsid w:val="007756F0"/>
    <w:rsid w:val="0077678C"/>
    <w:rsid w:val="00781407"/>
    <w:rsid w:val="00782E64"/>
    <w:rsid w:val="00792051"/>
    <w:rsid w:val="00794187"/>
    <w:rsid w:val="007943C4"/>
    <w:rsid w:val="00794BAC"/>
    <w:rsid w:val="007A0F90"/>
    <w:rsid w:val="007A3042"/>
    <w:rsid w:val="007A61CB"/>
    <w:rsid w:val="007B08FF"/>
    <w:rsid w:val="007B10F4"/>
    <w:rsid w:val="007B2A98"/>
    <w:rsid w:val="007B2D64"/>
    <w:rsid w:val="007B3424"/>
    <w:rsid w:val="007B3FB2"/>
    <w:rsid w:val="007C03F7"/>
    <w:rsid w:val="007C088F"/>
    <w:rsid w:val="007C150A"/>
    <w:rsid w:val="007C1D26"/>
    <w:rsid w:val="007C45D5"/>
    <w:rsid w:val="007D038F"/>
    <w:rsid w:val="007D0E51"/>
    <w:rsid w:val="007D5FC9"/>
    <w:rsid w:val="007D75DA"/>
    <w:rsid w:val="007E5662"/>
    <w:rsid w:val="007E588C"/>
    <w:rsid w:val="007F089A"/>
    <w:rsid w:val="007F6AD5"/>
    <w:rsid w:val="00800EDD"/>
    <w:rsid w:val="00802931"/>
    <w:rsid w:val="0080364D"/>
    <w:rsid w:val="00803EB0"/>
    <w:rsid w:val="00804B7A"/>
    <w:rsid w:val="0080534A"/>
    <w:rsid w:val="008074C4"/>
    <w:rsid w:val="008157C9"/>
    <w:rsid w:val="00815A79"/>
    <w:rsid w:val="00816103"/>
    <w:rsid w:val="00816454"/>
    <w:rsid w:val="00821317"/>
    <w:rsid w:val="0082131D"/>
    <w:rsid w:val="0082169D"/>
    <w:rsid w:val="00825532"/>
    <w:rsid w:val="00826B2E"/>
    <w:rsid w:val="008303A4"/>
    <w:rsid w:val="00830653"/>
    <w:rsid w:val="00831F39"/>
    <w:rsid w:val="00832921"/>
    <w:rsid w:val="00832C84"/>
    <w:rsid w:val="00835C8D"/>
    <w:rsid w:val="00836AA8"/>
    <w:rsid w:val="00840EC6"/>
    <w:rsid w:val="0084445B"/>
    <w:rsid w:val="0085184C"/>
    <w:rsid w:val="008522E6"/>
    <w:rsid w:val="00852E7D"/>
    <w:rsid w:val="00854875"/>
    <w:rsid w:val="0085640B"/>
    <w:rsid w:val="00857F96"/>
    <w:rsid w:val="00857FF9"/>
    <w:rsid w:val="008628A6"/>
    <w:rsid w:val="00864FD2"/>
    <w:rsid w:val="008661A1"/>
    <w:rsid w:val="00867B16"/>
    <w:rsid w:val="00870A8D"/>
    <w:rsid w:val="008758F5"/>
    <w:rsid w:val="008759AF"/>
    <w:rsid w:val="00882A7D"/>
    <w:rsid w:val="00882BB6"/>
    <w:rsid w:val="00882FF0"/>
    <w:rsid w:val="00886738"/>
    <w:rsid w:val="00886ACF"/>
    <w:rsid w:val="008874FE"/>
    <w:rsid w:val="00890513"/>
    <w:rsid w:val="0089161C"/>
    <w:rsid w:val="008927E7"/>
    <w:rsid w:val="00892D5B"/>
    <w:rsid w:val="0089476A"/>
    <w:rsid w:val="00895BE2"/>
    <w:rsid w:val="00896930"/>
    <w:rsid w:val="0089724B"/>
    <w:rsid w:val="00897E36"/>
    <w:rsid w:val="008A3E0C"/>
    <w:rsid w:val="008A54FA"/>
    <w:rsid w:val="008A6306"/>
    <w:rsid w:val="008A6A9B"/>
    <w:rsid w:val="008B0F2C"/>
    <w:rsid w:val="008B186A"/>
    <w:rsid w:val="008B2519"/>
    <w:rsid w:val="008B3404"/>
    <w:rsid w:val="008B3484"/>
    <w:rsid w:val="008B3A33"/>
    <w:rsid w:val="008B67FB"/>
    <w:rsid w:val="008C0799"/>
    <w:rsid w:val="008C184C"/>
    <w:rsid w:val="008C3E46"/>
    <w:rsid w:val="008C66C8"/>
    <w:rsid w:val="008D2BD0"/>
    <w:rsid w:val="008D66A0"/>
    <w:rsid w:val="008E00E5"/>
    <w:rsid w:val="008E044E"/>
    <w:rsid w:val="008E3B26"/>
    <w:rsid w:val="008E4A2E"/>
    <w:rsid w:val="008E6516"/>
    <w:rsid w:val="008E673B"/>
    <w:rsid w:val="008F1ED7"/>
    <w:rsid w:val="008F2616"/>
    <w:rsid w:val="008F3EC2"/>
    <w:rsid w:val="008F3F97"/>
    <w:rsid w:val="008F4B0C"/>
    <w:rsid w:val="008F5833"/>
    <w:rsid w:val="008F59F9"/>
    <w:rsid w:val="008F622E"/>
    <w:rsid w:val="008F68AA"/>
    <w:rsid w:val="008F6C6E"/>
    <w:rsid w:val="0090031B"/>
    <w:rsid w:val="009022ED"/>
    <w:rsid w:val="00906DB8"/>
    <w:rsid w:val="00911AA7"/>
    <w:rsid w:val="00914E18"/>
    <w:rsid w:val="00916CE7"/>
    <w:rsid w:val="009201BF"/>
    <w:rsid w:val="0092444D"/>
    <w:rsid w:val="009248B8"/>
    <w:rsid w:val="00925027"/>
    <w:rsid w:val="00930086"/>
    <w:rsid w:val="009303F1"/>
    <w:rsid w:val="00931FA2"/>
    <w:rsid w:val="00932351"/>
    <w:rsid w:val="009335C0"/>
    <w:rsid w:val="0093363B"/>
    <w:rsid w:val="0093536B"/>
    <w:rsid w:val="00937281"/>
    <w:rsid w:val="0094142D"/>
    <w:rsid w:val="0094179E"/>
    <w:rsid w:val="0094425A"/>
    <w:rsid w:val="009450CE"/>
    <w:rsid w:val="00945BE3"/>
    <w:rsid w:val="00945D48"/>
    <w:rsid w:val="00946C2D"/>
    <w:rsid w:val="00947CD9"/>
    <w:rsid w:val="00947D10"/>
    <w:rsid w:val="009500F1"/>
    <w:rsid w:val="0095034D"/>
    <w:rsid w:val="00950A9C"/>
    <w:rsid w:val="0095229A"/>
    <w:rsid w:val="00952F43"/>
    <w:rsid w:val="00960D71"/>
    <w:rsid w:val="009614B8"/>
    <w:rsid w:val="00961C90"/>
    <w:rsid w:val="0096472F"/>
    <w:rsid w:val="00966DB0"/>
    <w:rsid w:val="00967259"/>
    <w:rsid w:val="00971A7D"/>
    <w:rsid w:val="00972E34"/>
    <w:rsid w:val="00973C0E"/>
    <w:rsid w:val="00973E81"/>
    <w:rsid w:val="009749AC"/>
    <w:rsid w:val="00974C96"/>
    <w:rsid w:val="00974CEF"/>
    <w:rsid w:val="00977DF1"/>
    <w:rsid w:val="00981AFD"/>
    <w:rsid w:val="00982CC5"/>
    <w:rsid w:val="00983FE3"/>
    <w:rsid w:val="00987433"/>
    <w:rsid w:val="009911F2"/>
    <w:rsid w:val="009916E6"/>
    <w:rsid w:val="009931B6"/>
    <w:rsid w:val="009948C7"/>
    <w:rsid w:val="00994D29"/>
    <w:rsid w:val="00995A42"/>
    <w:rsid w:val="00997DAA"/>
    <w:rsid w:val="009A01B9"/>
    <w:rsid w:val="009A0399"/>
    <w:rsid w:val="009A0447"/>
    <w:rsid w:val="009A0CE6"/>
    <w:rsid w:val="009A3982"/>
    <w:rsid w:val="009A3E2A"/>
    <w:rsid w:val="009A4276"/>
    <w:rsid w:val="009A56FA"/>
    <w:rsid w:val="009A674E"/>
    <w:rsid w:val="009B1898"/>
    <w:rsid w:val="009B3331"/>
    <w:rsid w:val="009C0D28"/>
    <w:rsid w:val="009C47B5"/>
    <w:rsid w:val="009C4C0F"/>
    <w:rsid w:val="009C55DB"/>
    <w:rsid w:val="009C5A37"/>
    <w:rsid w:val="009C7F6A"/>
    <w:rsid w:val="009D20A4"/>
    <w:rsid w:val="009E060D"/>
    <w:rsid w:val="009E1853"/>
    <w:rsid w:val="009E1C82"/>
    <w:rsid w:val="009E4F14"/>
    <w:rsid w:val="009E70AA"/>
    <w:rsid w:val="009F1A88"/>
    <w:rsid w:val="009F6D68"/>
    <w:rsid w:val="009F7F82"/>
    <w:rsid w:val="00A01619"/>
    <w:rsid w:val="00A0368D"/>
    <w:rsid w:val="00A043C8"/>
    <w:rsid w:val="00A04596"/>
    <w:rsid w:val="00A04AED"/>
    <w:rsid w:val="00A04D36"/>
    <w:rsid w:val="00A0697E"/>
    <w:rsid w:val="00A06BE3"/>
    <w:rsid w:val="00A075A8"/>
    <w:rsid w:val="00A076A7"/>
    <w:rsid w:val="00A14132"/>
    <w:rsid w:val="00A20168"/>
    <w:rsid w:val="00A21C24"/>
    <w:rsid w:val="00A22435"/>
    <w:rsid w:val="00A2311F"/>
    <w:rsid w:val="00A23EA0"/>
    <w:rsid w:val="00A26F59"/>
    <w:rsid w:val="00A30615"/>
    <w:rsid w:val="00A332CD"/>
    <w:rsid w:val="00A3362E"/>
    <w:rsid w:val="00A35C74"/>
    <w:rsid w:val="00A37549"/>
    <w:rsid w:val="00A40745"/>
    <w:rsid w:val="00A41121"/>
    <w:rsid w:val="00A43C9F"/>
    <w:rsid w:val="00A523E6"/>
    <w:rsid w:val="00A55621"/>
    <w:rsid w:val="00A558D6"/>
    <w:rsid w:val="00A57512"/>
    <w:rsid w:val="00A576A8"/>
    <w:rsid w:val="00A62E09"/>
    <w:rsid w:val="00A63614"/>
    <w:rsid w:val="00A641D0"/>
    <w:rsid w:val="00A64F28"/>
    <w:rsid w:val="00A67F37"/>
    <w:rsid w:val="00A70421"/>
    <w:rsid w:val="00A746B8"/>
    <w:rsid w:val="00A7572F"/>
    <w:rsid w:val="00A77685"/>
    <w:rsid w:val="00A77ADC"/>
    <w:rsid w:val="00A77CD5"/>
    <w:rsid w:val="00A81D73"/>
    <w:rsid w:val="00A81DD0"/>
    <w:rsid w:val="00A8224E"/>
    <w:rsid w:val="00A855C6"/>
    <w:rsid w:val="00A86757"/>
    <w:rsid w:val="00A906C3"/>
    <w:rsid w:val="00A90AAB"/>
    <w:rsid w:val="00A91718"/>
    <w:rsid w:val="00A942FC"/>
    <w:rsid w:val="00A957CA"/>
    <w:rsid w:val="00AA0134"/>
    <w:rsid w:val="00AA0C22"/>
    <w:rsid w:val="00AA139D"/>
    <w:rsid w:val="00AA1E25"/>
    <w:rsid w:val="00AA2C18"/>
    <w:rsid w:val="00AA317D"/>
    <w:rsid w:val="00AA406B"/>
    <w:rsid w:val="00AA5CB2"/>
    <w:rsid w:val="00AA6E3B"/>
    <w:rsid w:val="00AA7676"/>
    <w:rsid w:val="00AB3B7E"/>
    <w:rsid w:val="00AB449A"/>
    <w:rsid w:val="00AB5749"/>
    <w:rsid w:val="00AB62CD"/>
    <w:rsid w:val="00AB73D8"/>
    <w:rsid w:val="00AB7A9B"/>
    <w:rsid w:val="00AC00E3"/>
    <w:rsid w:val="00AC12CB"/>
    <w:rsid w:val="00AC2C5A"/>
    <w:rsid w:val="00AC4172"/>
    <w:rsid w:val="00AD0B80"/>
    <w:rsid w:val="00AD1004"/>
    <w:rsid w:val="00AD1E61"/>
    <w:rsid w:val="00AD3C1F"/>
    <w:rsid w:val="00AD4311"/>
    <w:rsid w:val="00AE0470"/>
    <w:rsid w:val="00AE24C5"/>
    <w:rsid w:val="00AE3804"/>
    <w:rsid w:val="00AE44A9"/>
    <w:rsid w:val="00AE47AB"/>
    <w:rsid w:val="00AE6263"/>
    <w:rsid w:val="00AF2E59"/>
    <w:rsid w:val="00AF52E0"/>
    <w:rsid w:val="00AF5549"/>
    <w:rsid w:val="00B01798"/>
    <w:rsid w:val="00B0573A"/>
    <w:rsid w:val="00B07659"/>
    <w:rsid w:val="00B07FF0"/>
    <w:rsid w:val="00B11587"/>
    <w:rsid w:val="00B1364F"/>
    <w:rsid w:val="00B13C87"/>
    <w:rsid w:val="00B14702"/>
    <w:rsid w:val="00B156AB"/>
    <w:rsid w:val="00B20118"/>
    <w:rsid w:val="00B2022C"/>
    <w:rsid w:val="00B25863"/>
    <w:rsid w:val="00B2688E"/>
    <w:rsid w:val="00B26CC2"/>
    <w:rsid w:val="00B3021B"/>
    <w:rsid w:val="00B312CD"/>
    <w:rsid w:val="00B33CB9"/>
    <w:rsid w:val="00B36D4C"/>
    <w:rsid w:val="00B3726E"/>
    <w:rsid w:val="00B37962"/>
    <w:rsid w:val="00B40CDB"/>
    <w:rsid w:val="00B40EF7"/>
    <w:rsid w:val="00B41CA7"/>
    <w:rsid w:val="00B42663"/>
    <w:rsid w:val="00B44188"/>
    <w:rsid w:val="00B479C1"/>
    <w:rsid w:val="00B5153C"/>
    <w:rsid w:val="00B521B9"/>
    <w:rsid w:val="00B54E22"/>
    <w:rsid w:val="00B56FD5"/>
    <w:rsid w:val="00B57544"/>
    <w:rsid w:val="00B65285"/>
    <w:rsid w:val="00B669D0"/>
    <w:rsid w:val="00B71448"/>
    <w:rsid w:val="00B71BDC"/>
    <w:rsid w:val="00B740FA"/>
    <w:rsid w:val="00B758BA"/>
    <w:rsid w:val="00B76098"/>
    <w:rsid w:val="00B771B5"/>
    <w:rsid w:val="00B8162E"/>
    <w:rsid w:val="00B81E4E"/>
    <w:rsid w:val="00B826F0"/>
    <w:rsid w:val="00B83D00"/>
    <w:rsid w:val="00B85F09"/>
    <w:rsid w:val="00B86613"/>
    <w:rsid w:val="00B87DED"/>
    <w:rsid w:val="00B92085"/>
    <w:rsid w:val="00B928A0"/>
    <w:rsid w:val="00B942BE"/>
    <w:rsid w:val="00B94B78"/>
    <w:rsid w:val="00B95F8F"/>
    <w:rsid w:val="00B96372"/>
    <w:rsid w:val="00B967B5"/>
    <w:rsid w:val="00B97B1B"/>
    <w:rsid w:val="00BA0416"/>
    <w:rsid w:val="00BA1F75"/>
    <w:rsid w:val="00BA2EAE"/>
    <w:rsid w:val="00BA45D4"/>
    <w:rsid w:val="00BB05A2"/>
    <w:rsid w:val="00BB1B2B"/>
    <w:rsid w:val="00BB20F8"/>
    <w:rsid w:val="00BB3934"/>
    <w:rsid w:val="00BB514B"/>
    <w:rsid w:val="00BB5948"/>
    <w:rsid w:val="00BB677A"/>
    <w:rsid w:val="00BB69C6"/>
    <w:rsid w:val="00BB6B31"/>
    <w:rsid w:val="00BB7CD6"/>
    <w:rsid w:val="00BC04FE"/>
    <w:rsid w:val="00BC6A05"/>
    <w:rsid w:val="00BC6F9D"/>
    <w:rsid w:val="00BD06DB"/>
    <w:rsid w:val="00BD1A68"/>
    <w:rsid w:val="00BD2441"/>
    <w:rsid w:val="00BD2829"/>
    <w:rsid w:val="00BD3FC5"/>
    <w:rsid w:val="00BD7068"/>
    <w:rsid w:val="00BE204E"/>
    <w:rsid w:val="00BE622A"/>
    <w:rsid w:val="00BE62E2"/>
    <w:rsid w:val="00BE6F3F"/>
    <w:rsid w:val="00BF1605"/>
    <w:rsid w:val="00BF1973"/>
    <w:rsid w:val="00BF24F3"/>
    <w:rsid w:val="00BF253A"/>
    <w:rsid w:val="00BF2A14"/>
    <w:rsid w:val="00BF3941"/>
    <w:rsid w:val="00BF459F"/>
    <w:rsid w:val="00C00CBD"/>
    <w:rsid w:val="00C01403"/>
    <w:rsid w:val="00C02B8B"/>
    <w:rsid w:val="00C02FAB"/>
    <w:rsid w:val="00C04A1B"/>
    <w:rsid w:val="00C06510"/>
    <w:rsid w:val="00C06FB4"/>
    <w:rsid w:val="00C07AA9"/>
    <w:rsid w:val="00C10E11"/>
    <w:rsid w:val="00C1115B"/>
    <w:rsid w:val="00C124BF"/>
    <w:rsid w:val="00C1405A"/>
    <w:rsid w:val="00C15F5D"/>
    <w:rsid w:val="00C17061"/>
    <w:rsid w:val="00C21A03"/>
    <w:rsid w:val="00C21E8F"/>
    <w:rsid w:val="00C22277"/>
    <w:rsid w:val="00C24676"/>
    <w:rsid w:val="00C26AAB"/>
    <w:rsid w:val="00C35DE9"/>
    <w:rsid w:val="00C37070"/>
    <w:rsid w:val="00C41F2E"/>
    <w:rsid w:val="00C45620"/>
    <w:rsid w:val="00C55C42"/>
    <w:rsid w:val="00C57590"/>
    <w:rsid w:val="00C6081A"/>
    <w:rsid w:val="00C615B7"/>
    <w:rsid w:val="00C6344F"/>
    <w:rsid w:val="00C637F7"/>
    <w:rsid w:val="00C63A18"/>
    <w:rsid w:val="00C64347"/>
    <w:rsid w:val="00C65880"/>
    <w:rsid w:val="00C7030A"/>
    <w:rsid w:val="00C7165C"/>
    <w:rsid w:val="00C73B7E"/>
    <w:rsid w:val="00C75DA7"/>
    <w:rsid w:val="00C77010"/>
    <w:rsid w:val="00C77DE3"/>
    <w:rsid w:val="00C8005D"/>
    <w:rsid w:val="00C8065F"/>
    <w:rsid w:val="00C80D7D"/>
    <w:rsid w:val="00C81107"/>
    <w:rsid w:val="00C81743"/>
    <w:rsid w:val="00C843D8"/>
    <w:rsid w:val="00C84686"/>
    <w:rsid w:val="00C8480B"/>
    <w:rsid w:val="00C84930"/>
    <w:rsid w:val="00C86379"/>
    <w:rsid w:val="00C876FB"/>
    <w:rsid w:val="00C87DAA"/>
    <w:rsid w:val="00C923C3"/>
    <w:rsid w:val="00C9317B"/>
    <w:rsid w:val="00C948DB"/>
    <w:rsid w:val="00C9769F"/>
    <w:rsid w:val="00CA143A"/>
    <w:rsid w:val="00CA1E93"/>
    <w:rsid w:val="00CA3029"/>
    <w:rsid w:val="00CA3DE7"/>
    <w:rsid w:val="00CA7F74"/>
    <w:rsid w:val="00CB28A6"/>
    <w:rsid w:val="00CB4EFF"/>
    <w:rsid w:val="00CB557D"/>
    <w:rsid w:val="00CB61A4"/>
    <w:rsid w:val="00CB6627"/>
    <w:rsid w:val="00CB738E"/>
    <w:rsid w:val="00CC0BE0"/>
    <w:rsid w:val="00CC0FD8"/>
    <w:rsid w:val="00CC37BE"/>
    <w:rsid w:val="00CC3E96"/>
    <w:rsid w:val="00CC49A7"/>
    <w:rsid w:val="00CC5135"/>
    <w:rsid w:val="00CC5711"/>
    <w:rsid w:val="00CC66C3"/>
    <w:rsid w:val="00CC67AC"/>
    <w:rsid w:val="00CC696C"/>
    <w:rsid w:val="00CC7921"/>
    <w:rsid w:val="00CD1322"/>
    <w:rsid w:val="00CD18A9"/>
    <w:rsid w:val="00CD392A"/>
    <w:rsid w:val="00CD3B98"/>
    <w:rsid w:val="00CD4521"/>
    <w:rsid w:val="00CD4744"/>
    <w:rsid w:val="00CD67C5"/>
    <w:rsid w:val="00CD78CE"/>
    <w:rsid w:val="00CE0726"/>
    <w:rsid w:val="00CE11C3"/>
    <w:rsid w:val="00CE1F96"/>
    <w:rsid w:val="00CE4114"/>
    <w:rsid w:val="00CE4CAB"/>
    <w:rsid w:val="00CE5207"/>
    <w:rsid w:val="00CE52F8"/>
    <w:rsid w:val="00CE7ADE"/>
    <w:rsid w:val="00CF0DEC"/>
    <w:rsid w:val="00CF109B"/>
    <w:rsid w:val="00CF1292"/>
    <w:rsid w:val="00CF2E67"/>
    <w:rsid w:val="00CF50F2"/>
    <w:rsid w:val="00CF6CDD"/>
    <w:rsid w:val="00D0132B"/>
    <w:rsid w:val="00D016DB"/>
    <w:rsid w:val="00D030C1"/>
    <w:rsid w:val="00D039DE"/>
    <w:rsid w:val="00D03E32"/>
    <w:rsid w:val="00D1005E"/>
    <w:rsid w:val="00D10517"/>
    <w:rsid w:val="00D173D2"/>
    <w:rsid w:val="00D177F0"/>
    <w:rsid w:val="00D20ECC"/>
    <w:rsid w:val="00D21356"/>
    <w:rsid w:val="00D2182D"/>
    <w:rsid w:val="00D22C73"/>
    <w:rsid w:val="00D313D2"/>
    <w:rsid w:val="00D330F1"/>
    <w:rsid w:val="00D34155"/>
    <w:rsid w:val="00D35EE1"/>
    <w:rsid w:val="00D3608A"/>
    <w:rsid w:val="00D414EB"/>
    <w:rsid w:val="00D41658"/>
    <w:rsid w:val="00D43625"/>
    <w:rsid w:val="00D4411A"/>
    <w:rsid w:val="00D467C8"/>
    <w:rsid w:val="00D47DCA"/>
    <w:rsid w:val="00D5025D"/>
    <w:rsid w:val="00D50C28"/>
    <w:rsid w:val="00D50E91"/>
    <w:rsid w:val="00D526D2"/>
    <w:rsid w:val="00D54CC2"/>
    <w:rsid w:val="00D6068F"/>
    <w:rsid w:val="00D61804"/>
    <w:rsid w:val="00D62DD2"/>
    <w:rsid w:val="00D638F5"/>
    <w:rsid w:val="00D63C89"/>
    <w:rsid w:val="00D63D6C"/>
    <w:rsid w:val="00D656D0"/>
    <w:rsid w:val="00D66BB9"/>
    <w:rsid w:val="00D66CE4"/>
    <w:rsid w:val="00D716D6"/>
    <w:rsid w:val="00D74CC0"/>
    <w:rsid w:val="00D76959"/>
    <w:rsid w:val="00D8171E"/>
    <w:rsid w:val="00D83E9F"/>
    <w:rsid w:val="00D87441"/>
    <w:rsid w:val="00D87836"/>
    <w:rsid w:val="00D907A1"/>
    <w:rsid w:val="00D90E9C"/>
    <w:rsid w:val="00D913C1"/>
    <w:rsid w:val="00D9321E"/>
    <w:rsid w:val="00D957B3"/>
    <w:rsid w:val="00D96EF3"/>
    <w:rsid w:val="00D97CF7"/>
    <w:rsid w:val="00DA3DA2"/>
    <w:rsid w:val="00DA58A1"/>
    <w:rsid w:val="00DA6A36"/>
    <w:rsid w:val="00DB1273"/>
    <w:rsid w:val="00DB44C1"/>
    <w:rsid w:val="00DB49C6"/>
    <w:rsid w:val="00DB6CD7"/>
    <w:rsid w:val="00DC0C16"/>
    <w:rsid w:val="00DC1851"/>
    <w:rsid w:val="00DC1E06"/>
    <w:rsid w:val="00DC1FB4"/>
    <w:rsid w:val="00DC3057"/>
    <w:rsid w:val="00DC3777"/>
    <w:rsid w:val="00DC3F67"/>
    <w:rsid w:val="00DC4E90"/>
    <w:rsid w:val="00DC5F21"/>
    <w:rsid w:val="00DC6C49"/>
    <w:rsid w:val="00DD0F9F"/>
    <w:rsid w:val="00DD29FD"/>
    <w:rsid w:val="00DD35EF"/>
    <w:rsid w:val="00DD56BC"/>
    <w:rsid w:val="00DD57A4"/>
    <w:rsid w:val="00DD596D"/>
    <w:rsid w:val="00DD6376"/>
    <w:rsid w:val="00DD79AC"/>
    <w:rsid w:val="00DE4A14"/>
    <w:rsid w:val="00DE55DB"/>
    <w:rsid w:val="00DE6552"/>
    <w:rsid w:val="00DE691E"/>
    <w:rsid w:val="00DE7D0B"/>
    <w:rsid w:val="00DF0785"/>
    <w:rsid w:val="00DF2BE4"/>
    <w:rsid w:val="00DF3086"/>
    <w:rsid w:val="00DF36E2"/>
    <w:rsid w:val="00DF4241"/>
    <w:rsid w:val="00DF47DA"/>
    <w:rsid w:val="00DF5B2A"/>
    <w:rsid w:val="00DF6A6C"/>
    <w:rsid w:val="00E00776"/>
    <w:rsid w:val="00E02B3D"/>
    <w:rsid w:val="00E06DF3"/>
    <w:rsid w:val="00E079E4"/>
    <w:rsid w:val="00E1009B"/>
    <w:rsid w:val="00E10D93"/>
    <w:rsid w:val="00E11026"/>
    <w:rsid w:val="00E13A88"/>
    <w:rsid w:val="00E16B1E"/>
    <w:rsid w:val="00E2256D"/>
    <w:rsid w:val="00E24C07"/>
    <w:rsid w:val="00E32D9F"/>
    <w:rsid w:val="00E33066"/>
    <w:rsid w:val="00E33AF4"/>
    <w:rsid w:val="00E35BE7"/>
    <w:rsid w:val="00E372CB"/>
    <w:rsid w:val="00E400DF"/>
    <w:rsid w:val="00E412B9"/>
    <w:rsid w:val="00E418BA"/>
    <w:rsid w:val="00E41905"/>
    <w:rsid w:val="00E42596"/>
    <w:rsid w:val="00E426E1"/>
    <w:rsid w:val="00E4342C"/>
    <w:rsid w:val="00E43474"/>
    <w:rsid w:val="00E43F51"/>
    <w:rsid w:val="00E45D11"/>
    <w:rsid w:val="00E474B4"/>
    <w:rsid w:val="00E50EA6"/>
    <w:rsid w:val="00E52108"/>
    <w:rsid w:val="00E52A89"/>
    <w:rsid w:val="00E552F7"/>
    <w:rsid w:val="00E55A8A"/>
    <w:rsid w:val="00E55CDA"/>
    <w:rsid w:val="00E6088A"/>
    <w:rsid w:val="00E619DC"/>
    <w:rsid w:val="00E62B41"/>
    <w:rsid w:val="00E63259"/>
    <w:rsid w:val="00E632C3"/>
    <w:rsid w:val="00E63E56"/>
    <w:rsid w:val="00E649F5"/>
    <w:rsid w:val="00E651AC"/>
    <w:rsid w:val="00E66C4D"/>
    <w:rsid w:val="00E67BF9"/>
    <w:rsid w:val="00E71A45"/>
    <w:rsid w:val="00E738B6"/>
    <w:rsid w:val="00E74ECE"/>
    <w:rsid w:val="00E75E17"/>
    <w:rsid w:val="00E805A5"/>
    <w:rsid w:val="00E82B80"/>
    <w:rsid w:val="00E83077"/>
    <w:rsid w:val="00E87428"/>
    <w:rsid w:val="00E90A1B"/>
    <w:rsid w:val="00E90FC2"/>
    <w:rsid w:val="00E91DD6"/>
    <w:rsid w:val="00E9222C"/>
    <w:rsid w:val="00E944F6"/>
    <w:rsid w:val="00E952E6"/>
    <w:rsid w:val="00E9688B"/>
    <w:rsid w:val="00EA559C"/>
    <w:rsid w:val="00EC1E8B"/>
    <w:rsid w:val="00EC2DC1"/>
    <w:rsid w:val="00EC6066"/>
    <w:rsid w:val="00ED238A"/>
    <w:rsid w:val="00ED39E2"/>
    <w:rsid w:val="00ED477B"/>
    <w:rsid w:val="00EE05F6"/>
    <w:rsid w:val="00EE381E"/>
    <w:rsid w:val="00EE3FC8"/>
    <w:rsid w:val="00EE6292"/>
    <w:rsid w:val="00EE66A3"/>
    <w:rsid w:val="00EE7756"/>
    <w:rsid w:val="00EF26A5"/>
    <w:rsid w:val="00EF27F2"/>
    <w:rsid w:val="00EF3905"/>
    <w:rsid w:val="00EF5D8A"/>
    <w:rsid w:val="00EF5E9A"/>
    <w:rsid w:val="00EF7CEA"/>
    <w:rsid w:val="00F15560"/>
    <w:rsid w:val="00F21DE6"/>
    <w:rsid w:val="00F23571"/>
    <w:rsid w:val="00F235F3"/>
    <w:rsid w:val="00F24D2E"/>
    <w:rsid w:val="00F25638"/>
    <w:rsid w:val="00F25CF4"/>
    <w:rsid w:val="00F25EB0"/>
    <w:rsid w:val="00F26C3F"/>
    <w:rsid w:val="00F27BF2"/>
    <w:rsid w:val="00F3189A"/>
    <w:rsid w:val="00F33957"/>
    <w:rsid w:val="00F34598"/>
    <w:rsid w:val="00F35554"/>
    <w:rsid w:val="00F36CEA"/>
    <w:rsid w:val="00F4127F"/>
    <w:rsid w:val="00F42226"/>
    <w:rsid w:val="00F43475"/>
    <w:rsid w:val="00F446B1"/>
    <w:rsid w:val="00F47509"/>
    <w:rsid w:val="00F5116C"/>
    <w:rsid w:val="00F51AB4"/>
    <w:rsid w:val="00F520CE"/>
    <w:rsid w:val="00F53276"/>
    <w:rsid w:val="00F53A40"/>
    <w:rsid w:val="00F5712A"/>
    <w:rsid w:val="00F611F8"/>
    <w:rsid w:val="00F617B6"/>
    <w:rsid w:val="00F62D19"/>
    <w:rsid w:val="00F6373C"/>
    <w:rsid w:val="00F64596"/>
    <w:rsid w:val="00F64717"/>
    <w:rsid w:val="00F664AB"/>
    <w:rsid w:val="00F67EBB"/>
    <w:rsid w:val="00F67F36"/>
    <w:rsid w:val="00F67FA3"/>
    <w:rsid w:val="00F7043D"/>
    <w:rsid w:val="00F71E08"/>
    <w:rsid w:val="00F73E83"/>
    <w:rsid w:val="00F82C99"/>
    <w:rsid w:val="00F83602"/>
    <w:rsid w:val="00F8476E"/>
    <w:rsid w:val="00F86B70"/>
    <w:rsid w:val="00F879C4"/>
    <w:rsid w:val="00F91D9C"/>
    <w:rsid w:val="00F936E1"/>
    <w:rsid w:val="00F9479D"/>
    <w:rsid w:val="00F95F8B"/>
    <w:rsid w:val="00F971C8"/>
    <w:rsid w:val="00F9790C"/>
    <w:rsid w:val="00FA0EFD"/>
    <w:rsid w:val="00FA29E5"/>
    <w:rsid w:val="00FA5F44"/>
    <w:rsid w:val="00FA621C"/>
    <w:rsid w:val="00FB090D"/>
    <w:rsid w:val="00FB0DFF"/>
    <w:rsid w:val="00FB1645"/>
    <w:rsid w:val="00FB57D5"/>
    <w:rsid w:val="00FB5DF3"/>
    <w:rsid w:val="00FB7845"/>
    <w:rsid w:val="00FC28BF"/>
    <w:rsid w:val="00FC2C64"/>
    <w:rsid w:val="00FC3F8E"/>
    <w:rsid w:val="00FC41A1"/>
    <w:rsid w:val="00FC4628"/>
    <w:rsid w:val="00FC5B23"/>
    <w:rsid w:val="00FD0B3C"/>
    <w:rsid w:val="00FD22B7"/>
    <w:rsid w:val="00FD2B51"/>
    <w:rsid w:val="00FD7349"/>
    <w:rsid w:val="00FE08AC"/>
    <w:rsid w:val="00FE4BE9"/>
    <w:rsid w:val="00FE52C8"/>
    <w:rsid w:val="00FE5DF4"/>
    <w:rsid w:val="00FE6142"/>
    <w:rsid w:val="00FF0664"/>
    <w:rsid w:val="00FF382A"/>
    <w:rsid w:val="00FF4869"/>
    <w:rsid w:val="00FF666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semiHidden="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nhideWhenUsed="0" w:qFormat="1"/>
    <w:lsdException w:name="annotation reference" w:locked="1" w:semiHidden="0" w:unhideWhenUsed="0"/>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24153"/>
    <w:rPr>
      <w:rFonts w:ascii="Times New Roman" w:eastAsia="Times New Roman" w:hAnsi="Times New Roman"/>
      <w:sz w:val="24"/>
      <w:szCs w:val="24"/>
    </w:rPr>
  </w:style>
  <w:style w:type="paragraph" w:styleId="Cmsor1">
    <w:name w:val="heading 1"/>
    <w:basedOn w:val="Norml"/>
    <w:next w:val="Norml"/>
    <w:link w:val="Cmsor1Char"/>
    <w:uiPriority w:val="99"/>
    <w:qFormat/>
    <w:rsid w:val="00BF1973"/>
    <w:pPr>
      <w:keepNext/>
      <w:keepLines/>
      <w:spacing w:before="480" w:line="276" w:lineRule="auto"/>
      <w:outlineLvl w:val="0"/>
    </w:pPr>
    <w:rPr>
      <w:rFonts w:ascii="Cambria" w:hAnsi="Cambria"/>
      <w:b/>
      <w:bCs/>
      <w:color w:val="365F91"/>
      <w:sz w:val="28"/>
      <w:szCs w:val="28"/>
      <w:lang w:eastAsia="en-US"/>
    </w:rPr>
  </w:style>
  <w:style w:type="paragraph" w:styleId="Cmsor2">
    <w:name w:val="heading 2"/>
    <w:basedOn w:val="Norml"/>
    <w:next w:val="Norml"/>
    <w:link w:val="Cmsor2Char"/>
    <w:uiPriority w:val="99"/>
    <w:qFormat/>
    <w:rsid w:val="00395F23"/>
    <w:pPr>
      <w:keepNext/>
      <w:keepLines/>
      <w:spacing w:line="276" w:lineRule="auto"/>
      <w:ind w:left="5039" w:hanging="360"/>
      <w:jc w:val="center"/>
      <w:outlineLvl w:val="1"/>
    </w:pPr>
    <w:rPr>
      <w:b/>
      <w:bCs/>
      <w:lang w:eastAsia="en-US"/>
    </w:rPr>
  </w:style>
  <w:style w:type="paragraph" w:styleId="Cmsor4">
    <w:name w:val="heading 4"/>
    <w:basedOn w:val="Norml"/>
    <w:next w:val="Norml"/>
    <w:link w:val="Cmsor4Char"/>
    <w:uiPriority w:val="99"/>
    <w:qFormat/>
    <w:rsid w:val="00A57512"/>
    <w:pPr>
      <w:keepNext/>
      <w:spacing w:before="240" w:after="60"/>
      <w:outlineLvl w:val="3"/>
    </w:pPr>
    <w:rPr>
      <w:b/>
      <w:bCs/>
      <w:sz w:val="28"/>
      <w:szCs w:val="28"/>
    </w:rPr>
  </w:style>
  <w:style w:type="paragraph" w:styleId="Cmsor8">
    <w:name w:val="heading 8"/>
    <w:basedOn w:val="Norml"/>
    <w:next w:val="Norml"/>
    <w:link w:val="Cmsor8Char"/>
    <w:uiPriority w:val="99"/>
    <w:qFormat/>
    <w:rsid w:val="00BF1973"/>
    <w:pPr>
      <w:spacing w:before="240" w:after="60" w:line="276" w:lineRule="auto"/>
      <w:jc w:val="both"/>
      <w:outlineLvl w:val="7"/>
    </w:pPr>
    <w:rPr>
      <w:rFonts w:ascii="Calibri" w:eastAsia="Calibri" w:hAnsi="Calibri"/>
      <w:i/>
      <w:iCs/>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BF1973"/>
    <w:rPr>
      <w:rFonts w:ascii="Cambria" w:hAnsi="Cambria" w:cs="Times New Roman"/>
      <w:b/>
      <w:bCs/>
      <w:color w:val="365F91"/>
      <w:sz w:val="28"/>
      <w:szCs w:val="28"/>
    </w:rPr>
  </w:style>
  <w:style w:type="character" w:customStyle="1" w:styleId="Cmsor2Char">
    <w:name w:val="Címsor 2 Char"/>
    <w:basedOn w:val="Bekezdsalapbettpusa"/>
    <w:link w:val="Cmsor2"/>
    <w:uiPriority w:val="99"/>
    <w:locked/>
    <w:rsid w:val="00395F23"/>
    <w:rPr>
      <w:rFonts w:ascii="Times New Roman" w:hAnsi="Times New Roman" w:cs="Times New Roman"/>
      <w:b/>
      <w:bCs/>
      <w:sz w:val="24"/>
      <w:szCs w:val="24"/>
    </w:rPr>
  </w:style>
  <w:style w:type="character" w:customStyle="1" w:styleId="Cmsor4Char">
    <w:name w:val="Címsor 4 Char"/>
    <w:basedOn w:val="Bekezdsalapbettpusa"/>
    <w:link w:val="Cmsor4"/>
    <w:uiPriority w:val="99"/>
    <w:locked/>
    <w:rsid w:val="00A57512"/>
    <w:rPr>
      <w:rFonts w:ascii="Times New Roman" w:hAnsi="Times New Roman" w:cs="Times New Roman"/>
      <w:b/>
      <w:bCs/>
      <w:sz w:val="28"/>
      <w:szCs w:val="28"/>
      <w:lang w:eastAsia="hu-HU"/>
    </w:rPr>
  </w:style>
  <w:style w:type="character" w:customStyle="1" w:styleId="Cmsor8Char">
    <w:name w:val="Címsor 8 Char"/>
    <w:basedOn w:val="Bekezdsalapbettpusa"/>
    <w:link w:val="Cmsor8"/>
    <w:uiPriority w:val="99"/>
    <w:locked/>
    <w:rsid w:val="00BF1973"/>
    <w:rPr>
      <w:rFonts w:ascii="Calibri" w:eastAsia="Times New Roman" w:hAnsi="Calibri" w:cs="Times New Roman"/>
      <w:i/>
      <w:iCs/>
    </w:rPr>
  </w:style>
  <w:style w:type="paragraph" w:customStyle="1" w:styleId="Fszveg">
    <w:name w:val="Főszöveg"/>
    <w:basedOn w:val="Szvegtrzs3"/>
    <w:uiPriority w:val="99"/>
    <w:rsid w:val="00BF1973"/>
    <w:pPr>
      <w:autoSpaceDE w:val="0"/>
      <w:autoSpaceDN w:val="0"/>
      <w:spacing w:after="0" w:line="360" w:lineRule="auto"/>
      <w:jc w:val="both"/>
    </w:pPr>
    <w:rPr>
      <w:sz w:val="28"/>
      <w:szCs w:val="26"/>
    </w:rPr>
  </w:style>
  <w:style w:type="paragraph" w:styleId="lfej">
    <w:name w:val="header"/>
    <w:basedOn w:val="Norml"/>
    <w:link w:val="lfejChar"/>
    <w:uiPriority w:val="99"/>
    <w:rsid w:val="00BF1973"/>
    <w:pPr>
      <w:tabs>
        <w:tab w:val="center" w:pos="4536"/>
        <w:tab w:val="right" w:pos="9072"/>
      </w:tabs>
    </w:pPr>
  </w:style>
  <w:style w:type="character" w:customStyle="1" w:styleId="lfejChar">
    <w:name w:val="Élőfej Char"/>
    <w:basedOn w:val="Bekezdsalapbettpusa"/>
    <w:link w:val="lfej"/>
    <w:uiPriority w:val="99"/>
    <w:locked/>
    <w:rsid w:val="00BF1973"/>
    <w:rPr>
      <w:rFonts w:ascii="Times New Roman" w:hAnsi="Times New Roman" w:cs="Times New Roman"/>
      <w:sz w:val="24"/>
      <w:szCs w:val="24"/>
      <w:lang w:eastAsia="hu-HU"/>
    </w:rPr>
  </w:style>
  <w:style w:type="paragraph" w:styleId="llb">
    <w:name w:val="footer"/>
    <w:basedOn w:val="Norml"/>
    <w:link w:val="llbChar"/>
    <w:uiPriority w:val="99"/>
    <w:rsid w:val="00BF1973"/>
    <w:pPr>
      <w:tabs>
        <w:tab w:val="center" w:pos="4536"/>
        <w:tab w:val="right" w:pos="9072"/>
      </w:tabs>
    </w:pPr>
  </w:style>
  <w:style w:type="character" w:customStyle="1" w:styleId="llbChar">
    <w:name w:val="Élőláb Char"/>
    <w:basedOn w:val="Bekezdsalapbettpusa"/>
    <w:link w:val="llb"/>
    <w:uiPriority w:val="99"/>
    <w:locked/>
    <w:rsid w:val="00BF1973"/>
    <w:rPr>
      <w:rFonts w:ascii="Times New Roman" w:hAnsi="Times New Roman" w:cs="Times New Roman"/>
      <w:sz w:val="24"/>
      <w:szCs w:val="24"/>
      <w:lang w:eastAsia="hu-HU"/>
    </w:rPr>
  </w:style>
  <w:style w:type="paragraph" w:customStyle="1" w:styleId="Iktatszm">
    <w:name w:val="Iktatószám"/>
    <w:basedOn w:val="Norml"/>
    <w:uiPriority w:val="99"/>
    <w:rsid w:val="00BF1973"/>
    <w:pPr>
      <w:jc w:val="center"/>
    </w:pPr>
    <w:rPr>
      <w:b/>
      <w:caps/>
    </w:rPr>
  </w:style>
  <w:style w:type="paragraph" w:styleId="Cm">
    <w:name w:val="Title"/>
    <w:basedOn w:val="Norml"/>
    <w:link w:val="CmChar"/>
    <w:uiPriority w:val="99"/>
    <w:qFormat/>
    <w:rsid w:val="00BF1973"/>
    <w:pPr>
      <w:spacing w:before="240" w:after="60"/>
      <w:jc w:val="center"/>
      <w:outlineLvl w:val="0"/>
    </w:pPr>
    <w:rPr>
      <w:b/>
      <w:bCs/>
      <w:kern w:val="28"/>
    </w:rPr>
  </w:style>
  <w:style w:type="character" w:customStyle="1" w:styleId="CmChar">
    <w:name w:val="Cím Char"/>
    <w:basedOn w:val="Bekezdsalapbettpusa"/>
    <w:link w:val="Cm"/>
    <w:uiPriority w:val="99"/>
    <w:locked/>
    <w:rsid w:val="00BF1973"/>
    <w:rPr>
      <w:rFonts w:ascii="Times New Roman" w:hAnsi="Times New Roman" w:cs="Times New Roman"/>
      <w:b/>
      <w:bCs/>
      <w:kern w:val="28"/>
      <w:sz w:val="24"/>
      <w:szCs w:val="24"/>
      <w:lang w:eastAsia="hu-HU"/>
    </w:rPr>
  </w:style>
  <w:style w:type="character" w:styleId="Oldalszm">
    <w:name w:val="page number"/>
    <w:basedOn w:val="Bekezdsalapbettpusa"/>
    <w:uiPriority w:val="99"/>
    <w:rsid w:val="00BF1973"/>
    <w:rPr>
      <w:rFonts w:cs="Times New Roman"/>
    </w:rPr>
  </w:style>
  <w:style w:type="paragraph" w:styleId="Szvegtrzs3">
    <w:name w:val="Body Text 3"/>
    <w:basedOn w:val="Norml"/>
    <w:link w:val="Szvegtrzs3Char"/>
    <w:uiPriority w:val="99"/>
    <w:semiHidden/>
    <w:rsid w:val="00BF1973"/>
    <w:pPr>
      <w:spacing w:after="120"/>
    </w:pPr>
    <w:rPr>
      <w:sz w:val="16"/>
      <w:szCs w:val="16"/>
    </w:rPr>
  </w:style>
  <w:style w:type="character" w:customStyle="1" w:styleId="Szvegtrzs3Char">
    <w:name w:val="Szövegtörzs 3 Char"/>
    <w:basedOn w:val="Bekezdsalapbettpusa"/>
    <w:link w:val="Szvegtrzs3"/>
    <w:uiPriority w:val="99"/>
    <w:semiHidden/>
    <w:locked/>
    <w:rsid w:val="00BF1973"/>
    <w:rPr>
      <w:rFonts w:ascii="Times New Roman" w:hAnsi="Times New Roman" w:cs="Times New Roman"/>
      <w:sz w:val="16"/>
      <w:szCs w:val="16"/>
      <w:lang w:eastAsia="hu-HU"/>
    </w:rPr>
  </w:style>
  <w:style w:type="character" w:styleId="Jegyzethivatkozs">
    <w:name w:val="annotation reference"/>
    <w:basedOn w:val="Bekezdsalapbettpusa"/>
    <w:uiPriority w:val="99"/>
    <w:semiHidden/>
    <w:rsid w:val="00BF1973"/>
    <w:rPr>
      <w:rFonts w:cs="Times New Roman"/>
      <w:sz w:val="16"/>
      <w:szCs w:val="16"/>
    </w:rPr>
  </w:style>
  <w:style w:type="paragraph" w:styleId="Jegyzetszveg">
    <w:name w:val="annotation text"/>
    <w:basedOn w:val="Norml"/>
    <w:link w:val="JegyzetszvegChar"/>
    <w:uiPriority w:val="99"/>
    <w:semiHidden/>
    <w:rsid w:val="00BF1973"/>
    <w:rPr>
      <w:sz w:val="20"/>
      <w:szCs w:val="20"/>
    </w:rPr>
  </w:style>
  <w:style w:type="character" w:customStyle="1" w:styleId="JegyzetszvegChar">
    <w:name w:val="Jegyzetszöveg Char"/>
    <w:basedOn w:val="Bekezdsalapbettpusa"/>
    <w:link w:val="Jegyzetszveg"/>
    <w:uiPriority w:val="99"/>
    <w:semiHidden/>
    <w:locked/>
    <w:rsid w:val="00BF1973"/>
    <w:rPr>
      <w:rFonts w:ascii="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rsid w:val="00BF1973"/>
    <w:rPr>
      <w:b/>
      <w:bCs/>
    </w:rPr>
  </w:style>
  <w:style w:type="character" w:customStyle="1" w:styleId="MegjegyzstrgyaChar">
    <w:name w:val="Megjegyzés tárgya Char"/>
    <w:basedOn w:val="JegyzetszvegChar"/>
    <w:link w:val="Megjegyzstrgya"/>
    <w:uiPriority w:val="99"/>
    <w:semiHidden/>
    <w:locked/>
    <w:rsid w:val="00BF1973"/>
    <w:rPr>
      <w:rFonts w:ascii="Times New Roman" w:hAnsi="Times New Roman" w:cs="Times New Roman"/>
      <w:b/>
      <w:bCs/>
      <w:sz w:val="20"/>
      <w:szCs w:val="20"/>
      <w:lang w:eastAsia="hu-HU"/>
    </w:rPr>
  </w:style>
  <w:style w:type="paragraph" w:styleId="Buborkszveg">
    <w:name w:val="Balloon Text"/>
    <w:basedOn w:val="Norml"/>
    <w:link w:val="BuborkszvegChar"/>
    <w:uiPriority w:val="99"/>
    <w:semiHidden/>
    <w:rsid w:val="00BF1973"/>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BF1973"/>
    <w:rPr>
      <w:rFonts w:ascii="Tahoma" w:hAnsi="Tahoma" w:cs="Tahoma"/>
      <w:sz w:val="16"/>
      <w:szCs w:val="16"/>
      <w:lang w:eastAsia="hu-HU"/>
    </w:rPr>
  </w:style>
  <w:style w:type="paragraph" w:styleId="NormlWeb">
    <w:name w:val="Normal (Web)"/>
    <w:basedOn w:val="Norml"/>
    <w:uiPriority w:val="99"/>
    <w:rsid w:val="00BF1973"/>
    <w:pPr>
      <w:spacing w:before="100" w:beforeAutospacing="1" w:after="100" w:afterAutospacing="1"/>
    </w:pPr>
    <w:rPr>
      <w:color w:val="000000"/>
    </w:rPr>
  </w:style>
  <w:style w:type="paragraph" w:styleId="Listaszerbekezds">
    <w:name w:val="List Paragraph"/>
    <w:aliases w:val="Számozott lista 1,Eszeri felsorolás,List Paragraph à moi,lista_2,Welt L Char,Welt L,Bullet List,FooterText,numbered,Paragraphe de liste1,Bulletr List Paragraph,列出段落,列出段落1,Listeafsnit1,Parágrafo da Lista1,リスト段落1,LISTA,List Paragraph"/>
    <w:basedOn w:val="Norml"/>
    <w:link w:val="ListaszerbekezdsChar"/>
    <w:uiPriority w:val="34"/>
    <w:qFormat/>
    <w:rsid w:val="00BF1973"/>
    <w:pPr>
      <w:ind w:left="720"/>
      <w:contextualSpacing/>
    </w:pPr>
  </w:style>
  <w:style w:type="paragraph" w:styleId="Csakszveg">
    <w:name w:val="Plain Text"/>
    <w:basedOn w:val="Norml"/>
    <w:link w:val="CsakszvegChar"/>
    <w:uiPriority w:val="99"/>
    <w:rsid w:val="00BF1973"/>
    <w:rPr>
      <w:rFonts w:ascii="Calibri" w:eastAsia="Calibri" w:hAnsi="Calibri"/>
      <w:sz w:val="22"/>
      <w:szCs w:val="22"/>
      <w:lang w:eastAsia="en-US"/>
    </w:rPr>
  </w:style>
  <w:style w:type="character" w:customStyle="1" w:styleId="CsakszvegChar">
    <w:name w:val="Csak szöveg Char"/>
    <w:basedOn w:val="Bekezdsalapbettpusa"/>
    <w:link w:val="Csakszveg"/>
    <w:uiPriority w:val="99"/>
    <w:locked/>
    <w:rsid w:val="00BF1973"/>
    <w:rPr>
      <w:rFonts w:ascii="Calibri" w:hAnsi="Calibri" w:cs="Times New Roman"/>
    </w:rPr>
  </w:style>
  <w:style w:type="character" w:styleId="Hiperhivatkozs">
    <w:name w:val="Hyperlink"/>
    <w:basedOn w:val="Bekezdsalapbettpusa"/>
    <w:uiPriority w:val="99"/>
    <w:rsid w:val="00BF1973"/>
    <w:rPr>
      <w:rFonts w:cs="Times New Roman"/>
      <w:color w:val="0000FF"/>
      <w:u w:val="single"/>
    </w:rPr>
  </w:style>
  <w:style w:type="character" w:styleId="Lbjegyzet-hivatkozs">
    <w:name w:val="footnote reference"/>
    <w:aliases w:val="Footnote symbol,Footnote Reference Number,Footnote Reference_LVL6,Footnote Reference_LVL61,Footnote Reference_LVL62,Footnote Reference_LVL63,Footnote Reference_LVL64,Footnote reference number,Fußnotenzeichen3,Footnote Reference Num"/>
    <w:basedOn w:val="Bekezdsalapbettpusa"/>
    <w:uiPriority w:val="99"/>
    <w:rsid w:val="00BF1973"/>
    <w:rPr>
      <w:rFonts w:cs="Times New Roman"/>
      <w:vertAlign w:val="superscript"/>
    </w:rPr>
  </w:style>
  <w:style w:type="character" w:customStyle="1" w:styleId="ListaszerbekezdsChar">
    <w:name w:val="Listaszerű bekezdés Char"/>
    <w:aliases w:val="Számozott lista 1 Char,Eszeri felsorolás Char,List Paragraph à moi Char,lista_2 Char,Welt L Char Char,Welt L Char1,Bullet List Char,FooterText Char,numbered Char,Paragraphe de liste1 Char,Bulletr List Paragraph Char,列出段落 Char"/>
    <w:link w:val="Listaszerbekezds"/>
    <w:uiPriority w:val="34"/>
    <w:qFormat/>
    <w:locked/>
    <w:rsid w:val="00BF1973"/>
    <w:rPr>
      <w:rFonts w:ascii="Times New Roman" w:hAnsi="Times New Roman"/>
      <w:sz w:val="24"/>
      <w:lang w:eastAsia="hu-HU"/>
    </w:rPr>
  </w:style>
  <w:style w:type="paragraph" w:customStyle="1" w:styleId="CharCharChar1CharCharCharCharCharCharCharCharCharCharCharChar">
    <w:name w:val="Char Char Char1 Char Char Char Char Char Char Char Char Char Char Char Char"/>
    <w:basedOn w:val="Norml"/>
    <w:uiPriority w:val="99"/>
    <w:rsid w:val="00BF1973"/>
    <w:pPr>
      <w:spacing w:after="160" w:line="240" w:lineRule="exact"/>
    </w:pPr>
    <w:rPr>
      <w:rFonts w:ascii="Tahoma" w:hAnsi="Tahoma"/>
      <w:noProof/>
      <w:sz w:val="20"/>
      <w:szCs w:val="20"/>
    </w:rPr>
  </w:style>
  <w:style w:type="table" w:styleId="Kzepesrnykols11jellszn">
    <w:name w:val="Medium Shading 1 Accent 1"/>
    <w:basedOn w:val="Normltblzat"/>
    <w:uiPriority w:val="99"/>
    <w:rsid w:val="0026446E"/>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customStyle="1" w:styleId="cf0">
    <w:name w:val="cf0"/>
    <w:basedOn w:val="Norml"/>
    <w:uiPriority w:val="99"/>
    <w:rsid w:val="00FB0DFF"/>
    <w:pPr>
      <w:spacing w:before="100" w:beforeAutospacing="1" w:after="100" w:afterAutospacing="1"/>
    </w:pPr>
    <w:rPr>
      <w:rFonts w:eastAsia="Calibri"/>
    </w:rPr>
  </w:style>
  <w:style w:type="character" w:styleId="Kiemels2">
    <w:name w:val="Strong"/>
    <w:basedOn w:val="Bekezdsalapbettpusa"/>
    <w:uiPriority w:val="99"/>
    <w:qFormat/>
    <w:rsid w:val="00AB449A"/>
    <w:rPr>
      <w:rFonts w:cs="Times New Roman"/>
      <w:b/>
    </w:rPr>
  </w:style>
  <w:style w:type="paragraph" w:styleId="Vltozat">
    <w:name w:val="Revision"/>
    <w:hidden/>
    <w:uiPriority w:val="99"/>
    <w:semiHidden/>
    <w:rsid w:val="006E784A"/>
    <w:rPr>
      <w:rFonts w:ascii="Times New Roman" w:eastAsia="Times New Roman" w:hAnsi="Times New Roman"/>
      <w:sz w:val="24"/>
      <w:szCs w:val="24"/>
    </w:rPr>
  </w:style>
  <w:style w:type="character" w:customStyle="1" w:styleId="hl">
    <w:name w:val="hl"/>
    <w:basedOn w:val="Bekezdsalapbettpusa"/>
    <w:uiPriority w:val="99"/>
    <w:rsid w:val="009F6D68"/>
    <w:rPr>
      <w:rFonts w:cs="Times New Roman"/>
    </w:rPr>
  </w:style>
  <w:style w:type="paragraph" w:styleId="Lbjegyzetszveg">
    <w:name w:val="footnote text"/>
    <w:basedOn w:val="Norml"/>
    <w:link w:val="LbjegyzetszvegChar"/>
    <w:uiPriority w:val="99"/>
    <w:rsid w:val="004E3DBC"/>
    <w:pPr>
      <w:overflowPunct w:val="0"/>
    </w:pPr>
    <w:rPr>
      <w:rFonts w:ascii="Arial" w:eastAsia="SimSun" w:hAnsi="Arial" w:cs="Lucida Sans"/>
      <w:color w:val="00000A"/>
      <w:kern w:val="2"/>
      <w:lang w:eastAsia="zh-CN" w:bidi="hi-IN"/>
    </w:rPr>
  </w:style>
  <w:style w:type="character" w:customStyle="1" w:styleId="LbjegyzetszvegChar">
    <w:name w:val="Lábjegyzetszöveg Char"/>
    <w:basedOn w:val="Bekezdsalapbettpusa"/>
    <w:link w:val="Lbjegyzetszveg"/>
    <w:uiPriority w:val="99"/>
    <w:locked/>
    <w:rsid w:val="004E3DBC"/>
    <w:rPr>
      <w:rFonts w:ascii="Arial" w:eastAsia="SimSun" w:hAnsi="Arial" w:cs="Lucida Sans"/>
      <w:color w:val="00000A"/>
      <w:kern w:val="2"/>
      <w:sz w:val="24"/>
      <w:szCs w:val="24"/>
      <w:lang w:eastAsia="zh-CN" w:bidi="hi-IN"/>
    </w:rPr>
  </w:style>
  <w:style w:type="table" w:styleId="Rcsostblzat">
    <w:name w:val="Table Grid"/>
    <w:basedOn w:val="Normltblzat"/>
    <w:uiPriority w:val="99"/>
    <w:rsid w:val="004E3DBC"/>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incstrkz">
    <w:name w:val="No Spacing"/>
    <w:link w:val="NincstrkzChar"/>
    <w:uiPriority w:val="99"/>
    <w:qFormat/>
    <w:rsid w:val="008B2519"/>
    <w:pPr>
      <w:spacing w:after="200" w:line="276" w:lineRule="auto"/>
    </w:pPr>
    <w:rPr>
      <w:rFonts w:eastAsia="Times New Roman"/>
      <w:lang w:eastAsia="en-US"/>
    </w:rPr>
  </w:style>
  <w:style w:type="character" w:customStyle="1" w:styleId="NincstrkzChar">
    <w:name w:val="Nincs térköz Char"/>
    <w:link w:val="Nincstrkz"/>
    <w:uiPriority w:val="99"/>
    <w:locked/>
    <w:rsid w:val="008B2519"/>
    <w:rPr>
      <w:rFonts w:ascii="Calibri" w:hAnsi="Calibri"/>
      <w:sz w:val="22"/>
      <w:lang w:val="hu-HU" w:eastAsia="en-US"/>
    </w:rPr>
  </w:style>
  <w:style w:type="paragraph" w:customStyle="1" w:styleId="Jszszakasz">
    <w:name w:val="Jsz. szakasz"/>
    <w:basedOn w:val="Listaszerbekezds"/>
    <w:next w:val="Norml"/>
    <w:autoRedefine/>
    <w:qFormat/>
    <w:rsid w:val="00395F23"/>
    <w:pPr>
      <w:numPr>
        <w:numId w:val="2"/>
      </w:numPr>
      <w:spacing w:after="200" w:line="276" w:lineRule="auto"/>
      <w:jc w:val="both"/>
      <w:outlineLvl w:val="2"/>
    </w:pPr>
    <w:rPr>
      <w:rFonts w:ascii="Times" w:eastAsia="Calibri" w:hAnsi="Times" w:cs="Calibri"/>
      <w:b/>
      <w:szCs w:val="22"/>
      <w:lang w:eastAsia="en-US"/>
    </w:rPr>
  </w:style>
  <w:style w:type="paragraph" w:styleId="Szvegtrzsbehzssal">
    <w:name w:val="Body Text Indent"/>
    <w:basedOn w:val="Norml"/>
    <w:link w:val="SzvegtrzsbehzssalChar"/>
    <w:uiPriority w:val="99"/>
    <w:semiHidden/>
    <w:rsid w:val="00B36D4C"/>
    <w:pPr>
      <w:spacing w:after="120"/>
      <w:ind w:left="283"/>
    </w:pPr>
  </w:style>
  <w:style w:type="character" w:customStyle="1" w:styleId="SzvegtrzsbehzssalChar">
    <w:name w:val="Szövegtörzs behúzással Char"/>
    <w:basedOn w:val="Bekezdsalapbettpusa"/>
    <w:link w:val="Szvegtrzsbehzssal"/>
    <w:uiPriority w:val="99"/>
    <w:semiHidden/>
    <w:locked/>
    <w:rsid w:val="00B36D4C"/>
    <w:rPr>
      <w:rFonts w:ascii="Times New Roman" w:hAnsi="Times New Roman" w:cs="Times New Roman"/>
      <w:sz w:val="24"/>
      <w:szCs w:val="24"/>
      <w:lang w:eastAsia="hu-HU"/>
    </w:rPr>
  </w:style>
  <w:style w:type="paragraph" w:styleId="Kpalrs">
    <w:name w:val="caption"/>
    <w:basedOn w:val="Norml"/>
    <w:next w:val="Norml"/>
    <w:uiPriority w:val="99"/>
    <w:qFormat/>
    <w:rsid w:val="00CE0726"/>
    <w:rPr>
      <w:b/>
      <w:bCs/>
      <w:sz w:val="20"/>
      <w:szCs w:val="20"/>
    </w:rPr>
  </w:style>
  <w:style w:type="paragraph" w:styleId="Szvegtrzs">
    <w:name w:val="Body Text"/>
    <w:basedOn w:val="Norml"/>
    <w:link w:val="SzvegtrzsChar"/>
    <w:uiPriority w:val="99"/>
    <w:semiHidden/>
    <w:rsid w:val="00CE0726"/>
    <w:pPr>
      <w:spacing w:after="120"/>
    </w:pPr>
  </w:style>
  <w:style w:type="character" w:customStyle="1" w:styleId="SzvegtrzsChar">
    <w:name w:val="Szövegtörzs Char"/>
    <w:basedOn w:val="Bekezdsalapbettpusa"/>
    <w:link w:val="Szvegtrzs"/>
    <w:uiPriority w:val="99"/>
    <w:semiHidden/>
    <w:locked/>
    <w:rsid w:val="00CE0726"/>
    <w:rPr>
      <w:rFonts w:ascii="Times New Roman" w:hAnsi="Times New Roman" w:cs="Times New Roman"/>
      <w:sz w:val="24"/>
      <w:szCs w:val="24"/>
      <w:lang w:eastAsia="hu-HU"/>
    </w:rPr>
  </w:style>
  <w:style w:type="paragraph" w:customStyle="1" w:styleId="Default">
    <w:name w:val="Default"/>
    <w:rsid w:val="00A0697E"/>
    <w:pPr>
      <w:autoSpaceDE w:val="0"/>
      <w:autoSpaceDN w:val="0"/>
      <w:adjustRightInd w:val="0"/>
    </w:pPr>
    <w:rPr>
      <w:rFonts w:ascii="Times New Roman" w:eastAsia="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semiHidden="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nhideWhenUsed="0" w:qFormat="1"/>
    <w:lsdException w:name="annotation reference" w:locked="1" w:semiHidden="0" w:unhideWhenUsed="0"/>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24153"/>
    <w:rPr>
      <w:rFonts w:ascii="Times New Roman" w:eastAsia="Times New Roman" w:hAnsi="Times New Roman"/>
      <w:sz w:val="24"/>
      <w:szCs w:val="24"/>
    </w:rPr>
  </w:style>
  <w:style w:type="paragraph" w:styleId="Cmsor1">
    <w:name w:val="heading 1"/>
    <w:basedOn w:val="Norml"/>
    <w:next w:val="Norml"/>
    <w:link w:val="Cmsor1Char"/>
    <w:uiPriority w:val="99"/>
    <w:qFormat/>
    <w:rsid w:val="00BF1973"/>
    <w:pPr>
      <w:keepNext/>
      <w:keepLines/>
      <w:spacing w:before="480" w:line="276" w:lineRule="auto"/>
      <w:outlineLvl w:val="0"/>
    </w:pPr>
    <w:rPr>
      <w:rFonts w:ascii="Cambria" w:hAnsi="Cambria"/>
      <w:b/>
      <w:bCs/>
      <w:color w:val="365F91"/>
      <w:sz w:val="28"/>
      <w:szCs w:val="28"/>
      <w:lang w:eastAsia="en-US"/>
    </w:rPr>
  </w:style>
  <w:style w:type="paragraph" w:styleId="Cmsor2">
    <w:name w:val="heading 2"/>
    <w:basedOn w:val="Norml"/>
    <w:next w:val="Norml"/>
    <w:link w:val="Cmsor2Char"/>
    <w:uiPriority w:val="99"/>
    <w:qFormat/>
    <w:rsid w:val="00395F23"/>
    <w:pPr>
      <w:keepNext/>
      <w:keepLines/>
      <w:spacing w:line="276" w:lineRule="auto"/>
      <w:ind w:left="5039" w:hanging="360"/>
      <w:jc w:val="center"/>
      <w:outlineLvl w:val="1"/>
    </w:pPr>
    <w:rPr>
      <w:b/>
      <w:bCs/>
      <w:lang w:eastAsia="en-US"/>
    </w:rPr>
  </w:style>
  <w:style w:type="paragraph" w:styleId="Cmsor4">
    <w:name w:val="heading 4"/>
    <w:basedOn w:val="Norml"/>
    <w:next w:val="Norml"/>
    <w:link w:val="Cmsor4Char"/>
    <w:uiPriority w:val="99"/>
    <w:qFormat/>
    <w:rsid w:val="00A57512"/>
    <w:pPr>
      <w:keepNext/>
      <w:spacing w:before="240" w:after="60"/>
      <w:outlineLvl w:val="3"/>
    </w:pPr>
    <w:rPr>
      <w:b/>
      <w:bCs/>
      <w:sz w:val="28"/>
      <w:szCs w:val="28"/>
    </w:rPr>
  </w:style>
  <w:style w:type="paragraph" w:styleId="Cmsor8">
    <w:name w:val="heading 8"/>
    <w:basedOn w:val="Norml"/>
    <w:next w:val="Norml"/>
    <w:link w:val="Cmsor8Char"/>
    <w:uiPriority w:val="99"/>
    <w:qFormat/>
    <w:rsid w:val="00BF1973"/>
    <w:pPr>
      <w:spacing w:before="240" w:after="60" w:line="276" w:lineRule="auto"/>
      <w:jc w:val="both"/>
      <w:outlineLvl w:val="7"/>
    </w:pPr>
    <w:rPr>
      <w:rFonts w:ascii="Calibri" w:eastAsia="Calibri" w:hAnsi="Calibri"/>
      <w:i/>
      <w:iCs/>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BF1973"/>
    <w:rPr>
      <w:rFonts w:ascii="Cambria" w:hAnsi="Cambria" w:cs="Times New Roman"/>
      <w:b/>
      <w:bCs/>
      <w:color w:val="365F91"/>
      <w:sz w:val="28"/>
      <w:szCs w:val="28"/>
    </w:rPr>
  </w:style>
  <w:style w:type="character" w:customStyle="1" w:styleId="Cmsor2Char">
    <w:name w:val="Címsor 2 Char"/>
    <w:basedOn w:val="Bekezdsalapbettpusa"/>
    <w:link w:val="Cmsor2"/>
    <w:uiPriority w:val="99"/>
    <w:locked/>
    <w:rsid w:val="00395F23"/>
    <w:rPr>
      <w:rFonts w:ascii="Times New Roman" w:hAnsi="Times New Roman" w:cs="Times New Roman"/>
      <w:b/>
      <w:bCs/>
      <w:sz w:val="24"/>
      <w:szCs w:val="24"/>
    </w:rPr>
  </w:style>
  <w:style w:type="character" w:customStyle="1" w:styleId="Cmsor4Char">
    <w:name w:val="Címsor 4 Char"/>
    <w:basedOn w:val="Bekezdsalapbettpusa"/>
    <w:link w:val="Cmsor4"/>
    <w:uiPriority w:val="99"/>
    <w:locked/>
    <w:rsid w:val="00A57512"/>
    <w:rPr>
      <w:rFonts w:ascii="Times New Roman" w:hAnsi="Times New Roman" w:cs="Times New Roman"/>
      <w:b/>
      <w:bCs/>
      <w:sz w:val="28"/>
      <w:szCs w:val="28"/>
      <w:lang w:eastAsia="hu-HU"/>
    </w:rPr>
  </w:style>
  <w:style w:type="character" w:customStyle="1" w:styleId="Cmsor8Char">
    <w:name w:val="Címsor 8 Char"/>
    <w:basedOn w:val="Bekezdsalapbettpusa"/>
    <w:link w:val="Cmsor8"/>
    <w:uiPriority w:val="99"/>
    <w:locked/>
    <w:rsid w:val="00BF1973"/>
    <w:rPr>
      <w:rFonts w:ascii="Calibri" w:eastAsia="Times New Roman" w:hAnsi="Calibri" w:cs="Times New Roman"/>
      <w:i/>
      <w:iCs/>
    </w:rPr>
  </w:style>
  <w:style w:type="paragraph" w:customStyle="1" w:styleId="Fszveg">
    <w:name w:val="Főszöveg"/>
    <w:basedOn w:val="Szvegtrzs3"/>
    <w:uiPriority w:val="99"/>
    <w:rsid w:val="00BF1973"/>
    <w:pPr>
      <w:autoSpaceDE w:val="0"/>
      <w:autoSpaceDN w:val="0"/>
      <w:spacing w:after="0" w:line="360" w:lineRule="auto"/>
      <w:jc w:val="both"/>
    </w:pPr>
    <w:rPr>
      <w:sz w:val="28"/>
      <w:szCs w:val="26"/>
    </w:rPr>
  </w:style>
  <w:style w:type="paragraph" w:styleId="lfej">
    <w:name w:val="header"/>
    <w:basedOn w:val="Norml"/>
    <w:link w:val="lfejChar"/>
    <w:uiPriority w:val="99"/>
    <w:rsid w:val="00BF1973"/>
    <w:pPr>
      <w:tabs>
        <w:tab w:val="center" w:pos="4536"/>
        <w:tab w:val="right" w:pos="9072"/>
      </w:tabs>
    </w:pPr>
  </w:style>
  <w:style w:type="character" w:customStyle="1" w:styleId="lfejChar">
    <w:name w:val="Élőfej Char"/>
    <w:basedOn w:val="Bekezdsalapbettpusa"/>
    <w:link w:val="lfej"/>
    <w:uiPriority w:val="99"/>
    <w:locked/>
    <w:rsid w:val="00BF1973"/>
    <w:rPr>
      <w:rFonts w:ascii="Times New Roman" w:hAnsi="Times New Roman" w:cs="Times New Roman"/>
      <w:sz w:val="24"/>
      <w:szCs w:val="24"/>
      <w:lang w:eastAsia="hu-HU"/>
    </w:rPr>
  </w:style>
  <w:style w:type="paragraph" w:styleId="llb">
    <w:name w:val="footer"/>
    <w:basedOn w:val="Norml"/>
    <w:link w:val="llbChar"/>
    <w:uiPriority w:val="99"/>
    <w:rsid w:val="00BF1973"/>
    <w:pPr>
      <w:tabs>
        <w:tab w:val="center" w:pos="4536"/>
        <w:tab w:val="right" w:pos="9072"/>
      </w:tabs>
    </w:pPr>
  </w:style>
  <w:style w:type="character" w:customStyle="1" w:styleId="llbChar">
    <w:name w:val="Élőláb Char"/>
    <w:basedOn w:val="Bekezdsalapbettpusa"/>
    <w:link w:val="llb"/>
    <w:uiPriority w:val="99"/>
    <w:locked/>
    <w:rsid w:val="00BF1973"/>
    <w:rPr>
      <w:rFonts w:ascii="Times New Roman" w:hAnsi="Times New Roman" w:cs="Times New Roman"/>
      <w:sz w:val="24"/>
      <w:szCs w:val="24"/>
      <w:lang w:eastAsia="hu-HU"/>
    </w:rPr>
  </w:style>
  <w:style w:type="paragraph" w:customStyle="1" w:styleId="Iktatszm">
    <w:name w:val="Iktatószám"/>
    <w:basedOn w:val="Norml"/>
    <w:uiPriority w:val="99"/>
    <w:rsid w:val="00BF1973"/>
    <w:pPr>
      <w:jc w:val="center"/>
    </w:pPr>
    <w:rPr>
      <w:b/>
      <w:caps/>
    </w:rPr>
  </w:style>
  <w:style w:type="paragraph" w:styleId="Cm">
    <w:name w:val="Title"/>
    <w:basedOn w:val="Norml"/>
    <w:link w:val="CmChar"/>
    <w:uiPriority w:val="99"/>
    <w:qFormat/>
    <w:rsid w:val="00BF1973"/>
    <w:pPr>
      <w:spacing w:before="240" w:after="60"/>
      <w:jc w:val="center"/>
      <w:outlineLvl w:val="0"/>
    </w:pPr>
    <w:rPr>
      <w:b/>
      <w:bCs/>
      <w:kern w:val="28"/>
    </w:rPr>
  </w:style>
  <w:style w:type="character" w:customStyle="1" w:styleId="CmChar">
    <w:name w:val="Cím Char"/>
    <w:basedOn w:val="Bekezdsalapbettpusa"/>
    <w:link w:val="Cm"/>
    <w:uiPriority w:val="99"/>
    <w:locked/>
    <w:rsid w:val="00BF1973"/>
    <w:rPr>
      <w:rFonts w:ascii="Times New Roman" w:hAnsi="Times New Roman" w:cs="Times New Roman"/>
      <w:b/>
      <w:bCs/>
      <w:kern w:val="28"/>
      <w:sz w:val="24"/>
      <w:szCs w:val="24"/>
      <w:lang w:eastAsia="hu-HU"/>
    </w:rPr>
  </w:style>
  <w:style w:type="character" w:styleId="Oldalszm">
    <w:name w:val="page number"/>
    <w:basedOn w:val="Bekezdsalapbettpusa"/>
    <w:uiPriority w:val="99"/>
    <w:rsid w:val="00BF1973"/>
    <w:rPr>
      <w:rFonts w:cs="Times New Roman"/>
    </w:rPr>
  </w:style>
  <w:style w:type="paragraph" w:styleId="Szvegtrzs3">
    <w:name w:val="Body Text 3"/>
    <w:basedOn w:val="Norml"/>
    <w:link w:val="Szvegtrzs3Char"/>
    <w:uiPriority w:val="99"/>
    <w:semiHidden/>
    <w:rsid w:val="00BF1973"/>
    <w:pPr>
      <w:spacing w:after="120"/>
    </w:pPr>
    <w:rPr>
      <w:sz w:val="16"/>
      <w:szCs w:val="16"/>
    </w:rPr>
  </w:style>
  <w:style w:type="character" w:customStyle="1" w:styleId="Szvegtrzs3Char">
    <w:name w:val="Szövegtörzs 3 Char"/>
    <w:basedOn w:val="Bekezdsalapbettpusa"/>
    <w:link w:val="Szvegtrzs3"/>
    <w:uiPriority w:val="99"/>
    <w:semiHidden/>
    <w:locked/>
    <w:rsid w:val="00BF1973"/>
    <w:rPr>
      <w:rFonts w:ascii="Times New Roman" w:hAnsi="Times New Roman" w:cs="Times New Roman"/>
      <w:sz w:val="16"/>
      <w:szCs w:val="16"/>
      <w:lang w:eastAsia="hu-HU"/>
    </w:rPr>
  </w:style>
  <w:style w:type="character" w:styleId="Jegyzethivatkozs">
    <w:name w:val="annotation reference"/>
    <w:basedOn w:val="Bekezdsalapbettpusa"/>
    <w:uiPriority w:val="99"/>
    <w:semiHidden/>
    <w:rsid w:val="00BF1973"/>
    <w:rPr>
      <w:rFonts w:cs="Times New Roman"/>
      <w:sz w:val="16"/>
      <w:szCs w:val="16"/>
    </w:rPr>
  </w:style>
  <w:style w:type="paragraph" w:styleId="Jegyzetszveg">
    <w:name w:val="annotation text"/>
    <w:basedOn w:val="Norml"/>
    <w:link w:val="JegyzetszvegChar"/>
    <w:uiPriority w:val="99"/>
    <w:semiHidden/>
    <w:rsid w:val="00BF1973"/>
    <w:rPr>
      <w:sz w:val="20"/>
      <w:szCs w:val="20"/>
    </w:rPr>
  </w:style>
  <w:style w:type="character" w:customStyle="1" w:styleId="JegyzetszvegChar">
    <w:name w:val="Jegyzetszöveg Char"/>
    <w:basedOn w:val="Bekezdsalapbettpusa"/>
    <w:link w:val="Jegyzetszveg"/>
    <w:uiPriority w:val="99"/>
    <w:semiHidden/>
    <w:locked/>
    <w:rsid w:val="00BF1973"/>
    <w:rPr>
      <w:rFonts w:ascii="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rsid w:val="00BF1973"/>
    <w:rPr>
      <w:b/>
      <w:bCs/>
    </w:rPr>
  </w:style>
  <w:style w:type="character" w:customStyle="1" w:styleId="MegjegyzstrgyaChar">
    <w:name w:val="Megjegyzés tárgya Char"/>
    <w:basedOn w:val="JegyzetszvegChar"/>
    <w:link w:val="Megjegyzstrgya"/>
    <w:uiPriority w:val="99"/>
    <w:semiHidden/>
    <w:locked/>
    <w:rsid w:val="00BF1973"/>
    <w:rPr>
      <w:rFonts w:ascii="Times New Roman" w:hAnsi="Times New Roman" w:cs="Times New Roman"/>
      <w:b/>
      <w:bCs/>
      <w:sz w:val="20"/>
      <w:szCs w:val="20"/>
      <w:lang w:eastAsia="hu-HU"/>
    </w:rPr>
  </w:style>
  <w:style w:type="paragraph" w:styleId="Buborkszveg">
    <w:name w:val="Balloon Text"/>
    <w:basedOn w:val="Norml"/>
    <w:link w:val="BuborkszvegChar"/>
    <w:uiPriority w:val="99"/>
    <w:semiHidden/>
    <w:rsid w:val="00BF1973"/>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BF1973"/>
    <w:rPr>
      <w:rFonts w:ascii="Tahoma" w:hAnsi="Tahoma" w:cs="Tahoma"/>
      <w:sz w:val="16"/>
      <w:szCs w:val="16"/>
      <w:lang w:eastAsia="hu-HU"/>
    </w:rPr>
  </w:style>
  <w:style w:type="paragraph" w:styleId="NormlWeb">
    <w:name w:val="Normal (Web)"/>
    <w:basedOn w:val="Norml"/>
    <w:uiPriority w:val="99"/>
    <w:rsid w:val="00BF1973"/>
    <w:pPr>
      <w:spacing w:before="100" w:beforeAutospacing="1" w:after="100" w:afterAutospacing="1"/>
    </w:pPr>
    <w:rPr>
      <w:color w:val="000000"/>
    </w:rPr>
  </w:style>
  <w:style w:type="paragraph" w:styleId="Listaszerbekezds">
    <w:name w:val="List Paragraph"/>
    <w:aliases w:val="Számozott lista 1,Eszeri felsorolás,List Paragraph à moi,lista_2,Welt L Char,Welt L,Bullet List,FooterText,numbered,Paragraphe de liste1,Bulletr List Paragraph,列出段落,列出段落1,Listeafsnit1,Parágrafo da Lista1,リスト段落1,LISTA,List Paragraph"/>
    <w:basedOn w:val="Norml"/>
    <w:link w:val="ListaszerbekezdsChar"/>
    <w:uiPriority w:val="34"/>
    <w:qFormat/>
    <w:rsid w:val="00BF1973"/>
    <w:pPr>
      <w:ind w:left="720"/>
      <w:contextualSpacing/>
    </w:pPr>
  </w:style>
  <w:style w:type="paragraph" w:styleId="Csakszveg">
    <w:name w:val="Plain Text"/>
    <w:basedOn w:val="Norml"/>
    <w:link w:val="CsakszvegChar"/>
    <w:uiPriority w:val="99"/>
    <w:rsid w:val="00BF1973"/>
    <w:rPr>
      <w:rFonts w:ascii="Calibri" w:eastAsia="Calibri" w:hAnsi="Calibri"/>
      <w:sz w:val="22"/>
      <w:szCs w:val="22"/>
      <w:lang w:eastAsia="en-US"/>
    </w:rPr>
  </w:style>
  <w:style w:type="character" w:customStyle="1" w:styleId="CsakszvegChar">
    <w:name w:val="Csak szöveg Char"/>
    <w:basedOn w:val="Bekezdsalapbettpusa"/>
    <w:link w:val="Csakszveg"/>
    <w:uiPriority w:val="99"/>
    <w:locked/>
    <w:rsid w:val="00BF1973"/>
    <w:rPr>
      <w:rFonts w:ascii="Calibri" w:hAnsi="Calibri" w:cs="Times New Roman"/>
    </w:rPr>
  </w:style>
  <w:style w:type="character" w:styleId="Hiperhivatkozs">
    <w:name w:val="Hyperlink"/>
    <w:basedOn w:val="Bekezdsalapbettpusa"/>
    <w:uiPriority w:val="99"/>
    <w:rsid w:val="00BF1973"/>
    <w:rPr>
      <w:rFonts w:cs="Times New Roman"/>
      <w:color w:val="0000FF"/>
      <w:u w:val="single"/>
    </w:rPr>
  </w:style>
  <w:style w:type="character" w:styleId="Lbjegyzet-hivatkozs">
    <w:name w:val="footnote reference"/>
    <w:aliases w:val="Footnote symbol,Footnote Reference Number,Footnote Reference_LVL6,Footnote Reference_LVL61,Footnote Reference_LVL62,Footnote Reference_LVL63,Footnote Reference_LVL64,Footnote reference number,Fußnotenzeichen3,Footnote Reference Num"/>
    <w:basedOn w:val="Bekezdsalapbettpusa"/>
    <w:uiPriority w:val="99"/>
    <w:rsid w:val="00BF1973"/>
    <w:rPr>
      <w:rFonts w:cs="Times New Roman"/>
      <w:vertAlign w:val="superscript"/>
    </w:rPr>
  </w:style>
  <w:style w:type="character" w:customStyle="1" w:styleId="ListaszerbekezdsChar">
    <w:name w:val="Listaszerű bekezdés Char"/>
    <w:aliases w:val="Számozott lista 1 Char,Eszeri felsorolás Char,List Paragraph à moi Char,lista_2 Char,Welt L Char Char,Welt L Char1,Bullet List Char,FooterText Char,numbered Char,Paragraphe de liste1 Char,Bulletr List Paragraph Char,列出段落 Char"/>
    <w:link w:val="Listaszerbekezds"/>
    <w:uiPriority w:val="34"/>
    <w:qFormat/>
    <w:locked/>
    <w:rsid w:val="00BF1973"/>
    <w:rPr>
      <w:rFonts w:ascii="Times New Roman" w:hAnsi="Times New Roman"/>
      <w:sz w:val="24"/>
      <w:lang w:eastAsia="hu-HU"/>
    </w:rPr>
  </w:style>
  <w:style w:type="paragraph" w:customStyle="1" w:styleId="CharCharChar1CharCharCharCharCharCharCharCharCharCharCharChar">
    <w:name w:val="Char Char Char1 Char Char Char Char Char Char Char Char Char Char Char Char"/>
    <w:basedOn w:val="Norml"/>
    <w:uiPriority w:val="99"/>
    <w:rsid w:val="00BF1973"/>
    <w:pPr>
      <w:spacing w:after="160" w:line="240" w:lineRule="exact"/>
    </w:pPr>
    <w:rPr>
      <w:rFonts w:ascii="Tahoma" w:hAnsi="Tahoma"/>
      <w:noProof/>
      <w:sz w:val="20"/>
      <w:szCs w:val="20"/>
    </w:rPr>
  </w:style>
  <w:style w:type="table" w:styleId="Kzepesrnykols11jellszn">
    <w:name w:val="Medium Shading 1 Accent 1"/>
    <w:basedOn w:val="Normltblzat"/>
    <w:uiPriority w:val="99"/>
    <w:rsid w:val="0026446E"/>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customStyle="1" w:styleId="cf0">
    <w:name w:val="cf0"/>
    <w:basedOn w:val="Norml"/>
    <w:uiPriority w:val="99"/>
    <w:rsid w:val="00FB0DFF"/>
    <w:pPr>
      <w:spacing w:before="100" w:beforeAutospacing="1" w:after="100" w:afterAutospacing="1"/>
    </w:pPr>
    <w:rPr>
      <w:rFonts w:eastAsia="Calibri"/>
    </w:rPr>
  </w:style>
  <w:style w:type="character" w:styleId="Kiemels2">
    <w:name w:val="Strong"/>
    <w:basedOn w:val="Bekezdsalapbettpusa"/>
    <w:uiPriority w:val="99"/>
    <w:qFormat/>
    <w:rsid w:val="00AB449A"/>
    <w:rPr>
      <w:rFonts w:cs="Times New Roman"/>
      <w:b/>
    </w:rPr>
  </w:style>
  <w:style w:type="paragraph" w:styleId="Vltozat">
    <w:name w:val="Revision"/>
    <w:hidden/>
    <w:uiPriority w:val="99"/>
    <w:semiHidden/>
    <w:rsid w:val="006E784A"/>
    <w:rPr>
      <w:rFonts w:ascii="Times New Roman" w:eastAsia="Times New Roman" w:hAnsi="Times New Roman"/>
      <w:sz w:val="24"/>
      <w:szCs w:val="24"/>
    </w:rPr>
  </w:style>
  <w:style w:type="character" w:customStyle="1" w:styleId="hl">
    <w:name w:val="hl"/>
    <w:basedOn w:val="Bekezdsalapbettpusa"/>
    <w:uiPriority w:val="99"/>
    <w:rsid w:val="009F6D68"/>
    <w:rPr>
      <w:rFonts w:cs="Times New Roman"/>
    </w:rPr>
  </w:style>
  <w:style w:type="paragraph" w:styleId="Lbjegyzetszveg">
    <w:name w:val="footnote text"/>
    <w:basedOn w:val="Norml"/>
    <w:link w:val="LbjegyzetszvegChar"/>
    <w:uiPriority w:val="99"/>
    <w:rsid w:val="004E3DBC"/>
    <w:pPr>
      <w:overflowPunct w:val="0"/>
    </w:pPr>
    <w:rPr>
      <w:rFonts w:ascii="Arial" w:eastAsia="SimSun" w:hAnsi="Arial" w:cs="Lucida Sans"/>
      <w:color w:val="00000A"/>
      <w:kern w:val="2"/>
      <w:lang w:eastAsia="zh-CN" w:bidi="hi-IN"/>
    </w:rPr>
  </w:style>
  <w:style w:type="character" w:customStyle="1" w:styleId="LbjegyzetszvegChar">
    <w:name w:val="Lábjegyzetszöveg Char"/>
    <w:basedOn w:val="Bekezdsalapbettpusa"/>
    <w:link w:val="Lbjegyzetszveg"/>
    <w:uiPriority w:val="99"/>
    <w:locked/>
    <w:rsid w:val="004E3DBC"/>
    <w:rPr>
      <w:rFonts w:ascii="Arial" w:eastAsia="SimSun" w:hAnsi="Arial" w:cs="Lucida Sans"/>
      <w:color w:val="00000A"/>
      <w:kern w:val="2"/>
      <w:sz w:val="24"/>
      <w:szCs w:val="24"/>
      <w:lang w:eastAsia="zh-CN" w:bidi="hi-IN"/>
    </w:rPr>
  </w:style>
  <w:style w:type="table" w:styleId="Rcsostblzat">
    <w:name w:val="Table Grid"/>
    <w:basedOn w:val="Normltblzat"/>
    <w:uiPriority w:val="99"/>
    <w:rsid w:val="004E3DBC"/>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incstrkz">
    <w:name w:val="No Spacing"/>
    <w:link w:val="NincstrkzChar"/>
    <w:uiPriority w:val="99"/>
    <w:qFormat/>
    <w:rsid w:val="008B2519"/>
    <w:pPr>
      <w:spacing w:after="200" w:line="276" w:lineRule="auto"/>
    </w:pPr>
    <w:rPr>
      <w:rFonts w:eastAsia="Times New Roman"/>
      <w:lang w:eastAsia="en-US"/>
    </w:rPr>
  </w:style>
  <w:style w:type="character" w:customStyle="1" w:styleId="NincstrkzChar">
    <w:name w:val="Nincs térköz Char"/>
    <w:link w:val="Nincstrkz"/>
    <w:uiPriority w:val="99"/>
    <w:locked/>
    <w:rsid w:val="008B2519"/>
    <w:rPr>
      <w:rFonts w:ascii="Calibri" w:hAnsi="Calibri"/>
      <w:sz w:val="22"/>
      <w:lang w:val="hu-HU" w:eastAsia="en-US"/>
    </w:rPr>
  </w:style>
  <w:style w:type="paragraph" w:customStyle="1" w:styleId="Jszszakasz">
    <w:name w:val="Jsz. szakasz"/>
    <w:basedOn w:val="Listaszerbekezds"/>
    <w:next w:val="Norml"/>
    <w:autoRedefine/>
    <w:qFormat/>
    <w:rsid w:val="00395F23"/>
    <w:pPr>
      <w:numPr>
        <w:numId w:val="2"/>
      </w:numPr>
      <w:spacing w:after="200" w:line="276" w:lineRule="auto"/>
      <w:jc w:val="both"/>
      <w:outlineLvl w:val="2"/>
    </w:pPr>
    <w:rPr>
      <w:rFonts w:ascii="Times" w:eastAsia="Calibri" w:hAnsi="Times" w:cs="Calibri"/>
      <w:b/>
      <w:szCs w:val="22"/>
      <w:lang w:eastAsia="en-US"/>
    </w:rPr>
  </w:style>
  <w:style w:type="paragraph" w:styleId="Szvegtrzsbehzssal">
    <w:name w:val="Body Text Indent"/>
    <w:basedOn w:val="Norml"/>
    <w:link w:val="SzvegtrzsbehzssalChar"/>
    <w:uiPriority w:val="99"/>
    <w:semiHidden/>
    <w:rsid w:val="00B36D4C"/>
    <w:pPr>
      <w:spacing w:after="120"/>
      <w:ind w:left="283"/>
    </w:pPr>
  </w:style>
  <w:style w:type="character" w:customStyle="1" w:styleId="SzvegtrzsbehzssalChar">
    <w:name w:val="Szövegtörzs behúzással Char"/>
    <w:basedOn w:val="Bekezdsalapbettpusa"/>
    <w:link w:val="Szvegtrzsbehzssal"/>
    <w:uiPriority w:val="99"/>
    <w:semiHidden/>
    <w:locked/>
    <w:rsid w:val="00B36D4C"/>
    <w:rPr>
      <w:rFonts w:ascii="Times New Roman" w:hAnsi="Times New Roman" w:cs="Times New Roman"/>
      <w:sz w:val="24"/>
      <w:szCs w:val="24"/>
      <w:lang w:eastAsia="hu-HU"/>
    </w:rPr>
  </w:style>
  <w:style w:type="paragraph" w:styleId="Kpalrs">
    <w:name w:val="caption"/>
    <w:basedOn w:val="Norml"/>
    <w:next w:val="Norml"/>
    <w:uiPriority w:val="99"/>
    <w:qFormat/>
    <w:rsid w:val="00CE0726"/>
    <w:rPr>
      <w:b/>
      <w:bCs/>
      <w:sz w:val="20"/>
      <w:szCs w:val="20"/>
    </w:rPr>
  </w:style>
  <w:style w:type="paragraph" w:styleId="Szvegtrzs">
    <w:name w:val="Body Text"/>
    <w:basedOn w:val="Norml"/>
    <w:link w:val="SzvegtrzsChar"/>
    <w:uiPriority w:val="99"/>
    <w:semiHidden/>
    <w:rsid w:val="00CE0726"/>
    <w:pPr>
      <w:spacing w:after="120"/>
    </w:pPr>
  </w:style>
  <w:style w:type="character" w:customStyle="1" w:styleId="SzvegtrzsChar">
    <w:name w:val="Szövegtörzs Char"/>
    <w:basedOn w:val="Bekezdsalapbettpusa"/>
    <w:link w:val="Szvegtrzs"/>
    <w:uiPriority w:val="99"/>
    <w:semiHidden/>
    <w:locked/>
    <w:rsid w:val="00CE0726"/>
    <w:rPr>
      <w:rFonts w:ascii="Times New Roman" w:hAnsi="Times New Roman" w:cs="Times New Roman"/>
      <w:sz w:val="24"/>
      <w:szCs w:val="24"/>
      <w:lang w:eastAsia="hu-HU"/>
    </w:rPr>
  </w:style>
  <w:style w:type="paragraph" w:customStyle="1" w:styleId="Default">
    <w:name w:val="Default"/>
    <w:rsid w:val="00A0697E"/>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423040">
      <w:marLeft w:val="0"/>
      <w:marRight w:val="0"/>
      <w:marTop w:val="0"/>
      <w:marBottom w:val="0"/>
      <w:divBdr>
        <w:top w:val="none" w:sz="0" w:space="0" w:color="auto"/>
        <w:left w:val="none" w:sz="0" w:space="0" w:color="auto"/>
        <w:bottom w:val="none" w:sz="0" w:space="0" w:color="auto"/>
        <w:right w:val="none" w:sz="0" w:space="0" w:color="auto"/>
      </w:divBdr>
    </w:div>
    <w:div w:id="281423041">
      <w:marLeft w:val="0"/>
      <w:marRight w:val="0"/>
      <w:marTop w:val="0"/>
      <w:marBottom w:val="0"/>
      <w:divBdr>
        <w:top w:val="none" w:sz="0" w:space="0" w:color="auto"/>
        <w:left w:val="none" w:sz="0" w:space="0" w:color="auto"/>
        <w:bottom w:val="none" w:sz="0" w:space="0" w:color="auto"/>
        <w:right w:val="none" w:sz="0" w:space="0" w:color="auto"/>
      </w:divBdr>
    </w:div>
    <w:div w:id="281423042">
      <w:marLeft w:val="0"/>
      <w:marRight w:val="0"/>
      <w:marTop w:val="0"/>
      <w:marBottom w:val="0"/>
      <w:divBdr>
        <w:top w:val="none" w:sz="0" w:space="0" w:color="auto"/>
        <w:left w:val="none" w:sz="0" w:space="0" w:color="auto"/>
        <w:bottom w:val="none" w:sz="0" w:space="0" w:color="auto"/>
        <w:right w:val="none" w:sz="0" w:space="0" w:color="auto"/>
      </w:divBdr>
    </w:div>
    <w:div w:id="281423043">
      <w:marLeft w:val="0"/>
      <w:marRight w:val="0"/>
      <w:marTop w:val="0"/>
      <w:marBottom w:val="0"/>
      <w:divBdr>
        <w:top w:val="none" w:sz="0" w:space="0" w:color="auto"/>
        <w:left w:val="none" w:sz="0" w:space="0" w:color="auto"/>
        <w:bottom w:val="none" w:sz="0" w:space="0" w:color="auto"/>
        <w:right w:val="none" w:sz="0" w:space="0" w:color="auto"/>
      </w:divBdr>
    </w:div>
    <w:div w:id="281423044">
      <w:marLeft w:val="0"/>
      <w:marRight w:val="0"/>
      <w:marTop w:val="0"/>
      <w:marBottom w:val="0"/>
      <w:divBdr>
        <w:top w:val="none" w:sz="0" w:space="0" w:color="auto"/>
        <w:left w:val="none" w:sz="0" w:space="0" w:color="auto"/>
        <w:bottom w:val="none" w:sz="0" w:space="0" w:color="auto"/>
        <w:right w:val="none" w:sz="0" w:space="0" w:color="auto"/>
      </w:divBdr>
    </w:div>
    <w:div w:id="281423045">
      <w:marLeft w:val="0"/>
      <w:marRight w:val="0"/>
      <w:marTop w:val="0"/>
      <w:marBottom w:val="0"/>
      <w:divBdr>
        <w:top w:val="none" w:sz="0" w:space="0" w:color="auto"/>
        <w:left w:val="none" w:sz="0" w:space="0" w:color="auto"/>
        <w:bottom w:val="none" w:sz="0" w:space="0" w:color="auto"/>
        <w:right w:val="none" w:sz="0" w:space="0" w:color="auto"/>
      </w:divBdr>
    </w:div>
    <w:div w:id="281423046">
      <w:marLeft w:val="0"/>
      <w:marRight w:val="0"/>
      <w:marTop w:val="0"/>
      <w:marBottom w:val="0"/>
      <w:divBdr>
        <w:top w:val="none" w:sz="0" w:space="0" w:color="auto"/>
        <w:left w:val="none" w:sz="0" w:space="0" w:color="auto"/>
        <w:bottom w:val="none" w:sz="0" w:space="0" w:color="auto"/>
        <w:right w:val="none" w:sz="0" w:space="0" w:color="auto"/>
      </w:divBdr>
    </w:div>
    <w:div w:id="281423047">
      <w:marLeft w:val="0"/>
      <w:marRight w:val="0"/>
      <w:marTop w:val="0"/>
      <w:marBottom w:val="0"/>
      <w:divBdr>
        <w:top w:val="none" w:sz="0" w:space="0" w:color="auto"/>
        <w:left w:val="none" w:sz="0" w:space="0" w:color="auto"/>
        <w:bottom w:val="none" w:sz="0" w:space="0" w:color="auto"/>
        <w:right w:val="none" w:sz="0" w:space="0" w:color="auto"/>
      </w:divBdr>
    </w:div>
    <w:div w:id="281423048">
      <w:marLeft w:val="0"/>
      <w:marRight w:val="0"/>
      <w:marTop w:val="0"/>
      <w:marBottom w:val="0"/>
      <w:divBdr>
        <w:top w:val="none" w:sz="0" w:space="0" w:color="auto"/>
        <w:left w:val="none" w:sz="0" w:space="0" w:color="auto"/>
        <w:bottom w:val="none" w:sz="0" w:space="0" w:color="auto"/>
        <w:right w:val="none" w:sz="0" w:space="0" w:color="auto"/>
      </w:divBdr>
    </w:div>
    <w:div w:id="281423049">
      <w:marLeft w:val="0"/>
      <w:marRight w:val="0"/>
      <w:marTop w:val="0"/>
      <w:marBottom w:val="0"/>
      <w:divBdr>
        <w:top w:val="none" w:sz="0" w:space="0" w:color="auto"/>
        <w:left w:val="none" w:sz="0" w:space="0" w:color="auto"/>
        <w:bottom w:val="none" w:sz="0" w:space="0" w:color="auto"/>
        <w:right w:val="none" w:sz="0" w:space="0" w:color="auto"/>
      </w:divBdr>
    </w:div>
    <w:div w:id="281423050">
      <w:marLeft w:val="0"/>
      <w:marRight w:val="0"/>
      <w:marTop w:val="0"/>
      <w:marBottom w:val="0"/>
      <w:divBdr>
        <w:top w:val="none" w:sz="0" w:space="0" w:color="auto"/>
        <w:left w:val="none" w:sz="0" w:space="0" w:color="auto"/>
        <w:bottom w:val="none" w:sz="0" w:space="0" w:color="auto"/>
        <w:right w:val="none" w:sz="0" w:space="0" w:color="auto"/>
      </w:divBdr>
    </w:div>
    <w:div w:id="281423051">
      <w:marLeft w:val="0"/>
      <w:marRight w:val="0"/>
      <w:marTop w:val="0"/>
      <w:marBottom w:val="0"/>
      <w:divBdr>
        <w:top w:val="none" w:sz="0" w:space="0" w:color="auto"/>
        <w:left w:val="none" w:sz="0" w:space="0" w:color="auto"/>
        <w:bottom w:val="none" w:sz="0" w:space="0" w:color="auto"/>
        <w:right w:val="none" w:sz="0" w:space="0" w:color="auto"/>
      </w:divBdr>
    </w:div>
    <w:div w:id="281423052">
      <w:marLeft w:val="0"/>
      <w:marRight w:val="0"/>
      <w:marTop w:val="0"/>
      <w:marBottom w:val="0"/>
      <w:divBdr>
        <w:top w:val="none" w:sz="0" w:space="0" w:color="auto"/>
        <w:left w:val="none" w:sz="0" w:space="0" w:color="auto"/>
        <w:bottom w:val="none" w:sz="0" w:space="0" w:color="auto"/>
        <w:right w:val="none" w:sz="0" w:space="0" w:color="auto"/>
      </w:divBdr>
    </w:div>
    <w:div w:id="281423053">
      <w:marLeft w:val="0"/>
      <w:marRight w:val="0"/>
      <w:marTop w:val="0"/>
      <w:marBottom w:val="0"/>
      <w:divBdr>
        <w:top w:val="none" w:sz="0" w:space="0" w:color="auto"/>
        <w:left w:val="none" w:sz="0" w:space="0" w:color="auto"/>
        <w:bottom w:val="none" w:sz="0" w:space="0" w:color="auto"/>
        <w:right w:val="none" w:sz="0" w:space="0" w:color="auto"/>
      </w:divBdr>
    </w:div>
    <w:div w:id="281423054">
      <w:marLeft w:val="0"/>
      <w:marRight w:val="0"/>
      <w:marTop w:val="0"/>
      <w:marBottom w:val="0"/>
      <w:divBdr>
        <w:top w:val="none" w:sz="0" w:space="0" w:color="auto"/>
        <w:left w:val="none" w:sz="0" w:space="0" w:color="auto"/>
        <w:bottom w:val="none" w:sz="0" w:space="0" w:color="auto"/>
        <w:right w:val="none" w:sz="0" w:space="0" w:color="auto"/>
      </w:divBdr>
    </w:div>
    <w:div w:id="281423055">
      <w:marLeft w:val="0"/>
      <w:marRight w:val="0"/>
      <w:marTop w:val="0"/>
      <w:marBottom w:val="0"/>
      <w:divBdr>
        <w:top w:val="none" w:sz="0" w:space="0" w:color="auto"/>
        <w:left w:val="none" w:sz="0" w:space="0" w:color="auto"/>
        <w:bottom w:val="none" w:sz="0" w:space="0" w:color="auto"/>
        <w:right w:val="none" w:sz="0" w:space="0" w:color="auto"/>
      </w:divBdr>
    </w:div>
    <w:div w:id="281423056">
      <w:marLeft w:val="0"/>
      <w:marRight w:val="0"/>
      <w:marTop w:val="0"/>
      <w:marBottom w:val="0"/>
      <w:divBdr>
        <w:top w:val="none" w:sz="0" w:space="0" w:color="auto"/>
        <w:left w:val="none" w:sz="0" w:space="0" w:color="auto"/>
        <w:bottom w:val="none" w:sz="0" w:space="0" w:color="auto"/>
        <w:right w:val="none" w:sz="0" w:space="0" w:color="auto"/>
      </w:divBdr>
    </w:div>
    <w:div w:id="281423057">
      <w:marLeft w:val="0"/>
      <w:marRight w:val="0"/>
      <w:marTop w:val="0"/>
      <w:marBottom w:val="0"/>
      <w:divBdr>
        <w:top w:val="none" w:sz="0" w:space="0" w:color="auto"/>
        <w:left w:val="none" w:sz="0" w:space="0" w:color="auto"/>
        <w:bottom w:val="none" w:sz="0" w:space="0" w:color="auto"/>
        <w:right w:val="none" w:sz="0" w:space="0" w:color="auto"/>
      </w:divBdr>
    </w:div>
    <w:div w:id="281423058">
      <w:marLeft w:val="0"/>
      <w:marRight w:val="0"/>
      <w:marTop w:val="0"/>
      <w:marBottom w:val="0"/>
      <w:divBdr>
        <w:top w:val="none" w:sz="0" w:space="0" w:color="auto"/>
        <w:left w:val="none" w:sz="0" w:space="0" w:color="auto"/>
        <w:bottom w:val="none" w:sz="0" w:space="0" w:color="auto"/>
        <w:right w:val="none" w:sz="0" w:space="0" w:color="auto"/>
      </w:divBdr>
    </w:div>
    <w:div w:id="281423059">
      <w:marLeft w:val="0"/>
      <w:marRight w:val="0"/>
      <w:marTop w:val="0"/>
      <w:marBottom w:val="0"/>
      <w:divBdr>
        <w:top w:val="none" w:sz="0" w:space="0" w:color="auto"/>
        <w:left w:val="none" w:sz="0" w:space="0" w:color="auto"/>
        <w:bottom w:val="none" w:sz="0" w:space="0" w:color="auto"/>
        <w:right w:val="none" w:sz="0" w:space="0" w:color="auto"/>
      </w:divBdr>
    </w:div>
    <w:div w:id="281423060">
      <w:marLeft w:val="0"/>
      <w:marRight w:val="0"/>
      <w:marTop w:val="0"/>
      <w:marBottom w:val="0"/>
      <w:divBdr>
        <w:top w:val="none" w:sz="0" w:space="0" w:color="auto"/>
        <w:left w:val="none" w:sz="0" w:space="0" w:color="auto"/>
        <w:bottom w:val="none" w:sz="0" w:space="0" w:color="auto"/>
        <w:right w:val="none" w:sz="0" w:space="0" w:color="auto"/>
      </w:divBdr>
    </w:div>
    <w:div w:id="281423061">
      <w:marLeft w:val="0"/>
      <w:marRight w:val="0"/>
      <w:marTop w:val="0"/>
      <w:marBottom w:val="0"/>
      <w:divBdr>
        <w:top w:val="none" w:sz="0" w:space="0" w:color="auto"/>
        <w:left w:val="none" w:sz="0" w:space="0" w:color="auto"/>
        <w:bottom w:val="none" w:sz="0" w:space="0" w:color="auto"/>
        <w:right w:val="none" w:sz="0" w:space="0" w:color="auto"/>
      </w:divBdr>
    </w:div>
    <w:div w:id="281423062">
      <w:marLeft w:val="0"/>
      <w:marRight w:val="0"/>
      <w:marTop w:val="0"/>
      <w:marBottom w:val="0"/>
      <w:divBdr>
        <w:top w:val="none" w:sz="0" w:space="0" w:color="auto"/>
        <w:left w:val="none" w:sz="0" w:space="0" w:color="auto"/>
        <w:bottom w:val="none" w:sz="0" w:space="0" w:color="auto"/>
        <w:right w:val="none" w:sz="0" w:space="0" w:color="auto"/>
      </w:divBdr>
    </w:div>
    <w:div w:id="281423063">
      <w:marLeft w:val="0"/>
      <w:marRight w:val="0"/>
      <w:marTop w:val="0"/>
      <w:marBottom w:val="0"/>
      <w:divBdr>
        <w:top w:val="none" w:sz="0" w:space="0" w:color="auto"/>
        <w:left w:val="none" w:sz="0" w:space="0" w:color="auto"/>
        <w:bottom w:val="none" w:sz="0" w:space="0" w:color="auto"/>
        <w:right w:val="none" w:sz="0" w:space="0" w:color="auto"/>
      </w:divBdr>
    </w:div>
    <w:div w:id="281423064">
      <w:marLeft w:val="0"/>
      <w:marRight w:val="0"/>
      <w:marTop w:val="0"/>
      <w:marBottom w:val="0"/>
      <w:divBdr>
        <w:top w:val="none" w:sz="0" w:space="0" w:color="auto"/>
        <w:left w:val="none" w:sz="0" w:space="0" w:color="auto"/>
        <w:bottom w:val="none" w:sz="0" w:space="0" w:color="auto"/>
        <w:right w:val="none" w:sz="0" w:space="0" w:color="auto"/>
      </w:divBdr>
    </w:div>
    <w:div w:id="281423065">
      <w:marLeft w:val="0"/>
      <w:marRight w:val="0"/>
      <w:marTop w:val="0"/>
      <w:marBottom w:val="0"/>
      <w:divBdr>
        <w:top w:val="none" w:sz="0" w:space="0" w:color="auto"/>
        <w:left w:val="none" w:sz="0" w:space="0" w:color="auto"/>
        <w:bottom w:val="none" w:sz="0" w:space="0" w:color="auto"/>
        <w:right w:val="none" w:sz="0" w:space="0" w:color="auto"/>
      </w:divBdr>
    </w:div>
    <w:div w:id="281423066">
      <w:marLeft w:val="0"/>
      <w:marRight w:val="0"/>
      <w:marTop w:val="0"/>
      <w:marBottom w:val="0"/>
      <w:divBdr>
        <w:top w:val="none" w:sz="0" w:space="0" w:color="auto"/>
        <w:left w:val="none" w:sz="0" w:space="0" w:color="auto"/>
        <w:bottom w:val="none" w:sz="0" w:space="0" w:color="auto"/>
        <w:right w:val="none" w:sz="0" w:space="0" w:color="auto"/>
      </w:divBdr>
    </w:div>
    <w:div w:id="281423067">
      <w:marLeft w:val="0"/>
      <w:marRight w:val="0"/>
      <w:marTop w:val="0"/>
      <w:marBottom w:val="0"/>
      <w:divBdr>
        <w:top w:val="none" w:sz="0" w:space="0" w:color="auto"/>
        <w:left w:val="none" w:sz="0" w:space="0" w:color="auto"/>
        <w:bottom w:val="none" w:sz="0" w:space="0" w:color="auto"/>
        <w:right w:val="none" w:sz="0" w:space="0" w:color="auto"/>
      </w:divBdr>
    </w:div>
    <w:div w:id="281423068">
      <w:marLeft w:val="0"/>
      <w:marRight w:val="0"/>
      <w:marTop w:val="0"/>
      <w:marBottom w:val="0"/>
      <w:divBdr>
        <w:top w:val="none" w:sz="0" w:space="0" w:color="auto"/>
        <w:left w:val="none" w:sz="0" w:space="0" w:color="auto"/>
        <w:bottom w:val="none" w:sz="0" w:space="0" w:color="auto"/>
        <w:right w:val="none" w:sz="0" w:space="0" w:color="auto"/>
      </w:divBdr>
    </w:div>
    <w:div w:id="281423069">
      <w:marLeft w:val="0"/>
      <w:marRight w:val="0"/>
      <w:marTop w:val="0"/>
      <w:marBottom w:val="0"/>
      <w:divBdr>
        <w:top w:val="none" w:sz="0" w:space="0" w:color="auto"/>
        <w:left w:val="none" w:sz="0" w:space="0" w:color="auto"/>
        <w:bottom w:val="none" w:sz="0" w:space="0" w:color="auto"/>
        <w:right w:val="none" w:sz="0" w:space="0" w:color="auto"/>
      </w:divBdr>
    </w:div>
    <w:div w:id="281423070">
      <w:marLeft w:val="0"/>
      <w:marRight w:val="0"/>
      <w:marTop w:val="0"/>
      <w:marBottom w:val="0"/>
      <w:divBdr>
        <w:top w:val="none" w:sz="0" w:space="0" w:color="auto"/>
        <w:left w:val="none" w:sz="0" w:space="0" w:color="auto"/>
        <w:bottom w:val="none" w:sz="0" w:space="0" w:color="auto"/>
        <w:right w:val="none" w:sz="0" w:space="0" w:color="auto"/>
      </w:divBdr>
    </w:div>
    <w:div w:id="281423071">
      <w:marLeft w:val="0"/>
      <w:marRight w:val="0"/>
      <w:marTop w:val="0"/>
      <w:marBottom w:val="0"/>
      <w:divBdr>
        <w:top w:val="none" w:sz="0" w:space="0" w:color="auto"/>
        <w:left w:val="none" w:sz="0" w:space="0" w:color="auto"/>
        <w:bottom w:val="none" w:sz="0" w:space="0" w:color="auto"/>
        <w:right w:val="none" w:sz="0" w:space="0" w:color="auto"/>
      </w:divBdr>
    </w:div>
    <w:div w:id="281423072">
      <w:marLeft w:val="0"/>
      <w:marRight w:val="0"/>
      <w:marTop w:val="0"/>
      <w:marBottom w:val="0"/>
      <w:divBdr>
        <w:top w:val="none" w:sz="0" w:space="0" w:color="auto"/>
        <w:left w:val="none" w:sz="0" w:space="0" w:color="auto"/>
        <w:bottom w:val="none" w:sz="0" w:space="0" w:color="auto"/>
        <w:right w:val="none" w:sz="0" w:space="0" w:color="auto"/>
      </w:divBdr>
    </w:div>
    <w:div w:id="281423073">
      <w:marLeft w:val="0"/>
      <w:marRight w:val="0"/>
      <w:marTop w:val="0"/>
      <w:marBottom w:val="0"/>
      <w:divBdr>
        <w:top w:val="none" w:sz="0" w:space="0" w:color="auto"/>
        <w:left w:val="none" w:sz="0" w:space="0" w:color="auto"/>
        <w:bottom w:val="none" w:sz="0" w:space="0" w:color="auto"/>
        <w:right w:val="none" w:sz="0" w:space="0" w:color="auto"/>
      </w:divBdr>
    </w:div>
    <w:div w:id="281423074">
      <w:marLeft w:val="0"/>
      <w:marRight w:val="0"/>
      <w:marTop w:val="0"/>
      <w:marBottom w:val="0"/>
      <w:divBdr>
        <w:top w:val="none" w:sz="0" w:space="0" w:color="auto"/>
        <w:left w:val="none" w:sz="0" w:space="0" w:color="auto"/>
        <w:bottom w:val="none" w:sz="0" w:space="0" w:color="auto"/>
        <w:right w:val="none" w:sz="0" w:space="0" w:color="auto"/>
      </w:divBdr>
    </w:div>
    <w:div w:id="281423075">
      <w:marLeft w:val="0"/>
      <w:marRight w:val="0"/>
      <w:marTop w:val="0"/>
      <w:marBottom w:val="0"/>
      <w:divBdr>
        <w:top w:val="none" w:sz="0" w:space="0" w:color="auto"/>
        <w:left w:val="none" w:sz="0" w:space="0" w:color="auto"/>
        <w:bottom w:val="none" w:sz="0" w:space="0" w:color="auto"/>
        <w:right w:val="none" w:sz="0" w:space="0" w:color="auto"/>
      </w:divBdr>
    </w:div>
    <w:div w:id="281423076">
      <w:marLeft w:val="0"/>
      <w:marRight w:val="0"/>
      <w:marTop w:val="0"/>
      <w:marBottom w:val="0"/>
      <w:divBdr>
        <w:top w:val="none" w:sz="0" w:space="0" w:color="auto"/>
        <w:left w:val="none" w:sz="0" w:space="0" w:color="auto"/>
        <w:bottom w:val="none" w:sz="0" w:space="0" w:color="auto"/>
        <w:right w:val="none" w:sz="0" w:space="0" w:color="auto"/>
      </w:divBdr>
    </w:div>
    <w:div w:id="281423077">
      <w:marLeft w:val="0"/>
      <w:marRight w:val="0"/>
      <w:marTop w:val="0"/>
      <w:marBottom w:val="0"/>
      <w:divBdr>
        <w:top w:val="none" w:sz="0" w:space="0" w:color="auto"/>
        <w:left w:val="none" w:sz="0" w:space="0" w:color="auto"/>
        <w:bottom w:val="none" w:sz="0" w:space="0" w:color="auto"/>
        <w:right w:val="none" w:sz="0" w:space="0" w:color="auto"/>
      </w:divBdr>
    </w:div>
    <w:div w:id="281423078">
      <w:marLeft w:val="0"/>
      <w:marRight w:val="0"/>
      <w:marTop w:val="0"/>
      <w:marBottom w:val="0"/>
      <w:divBdr>
        <w:top w:val="none" w:sz="0" w:space="0" w:color="auto"/>
        <w:left w:val="none" w:sz="0" w:space="0" w:color="auto"/>
        <w:bottom w:val="none" w:sz="0" w:space="0" w:color="auto"/>
        <w:right w:val="none" w:sz="0" w:space="0" w:color="auto"/>
      </w:divBdr>
    </w:div>
    <w:div w:id="281423079">
      <w:marLeft w:val="0"/>
      <w:marRight w:val="0"/>
      <w:marTop w:val="0"/>
      <w:marBottom w:val="0"/>
      <w:divBdr>
        <w:top w:val="none" w:sz="0" w:space="0" w:color="auto"/>
        <w:left w:val="none" w:sz="0" w:space="0" w:color="auto"/>
        <w:bottom w:val="none" w:sz="0" w:space="0" w:color="auto"/>
        <w:right w:val="none" w:sz="0" w:space="0" w:color="auto"/>
      </w:divBdr>
    </w:div>
    <w:div w:id="281423080">
      <w:marLeft w:val="0"/>
      <w:marRight w:val="0"/>
      <w:marTop w:val="0"/>
      <w:marBottom w:val="0"/>
      <w:divBdr>
        <w:top w:val="none" w:sz="0" w:space="0" w:color="auto"/>
        <w:left w:val="none" w:sz="0" w:space="0" w:color="auto"/>
        <w:bottom w:val="none" w:sz="0" w:space="0" w:color="auto"/>
        <w:right w:val="none" w:sz="0" w:space="0" w:color="auto"/>
      </w:divBdr>
    </w:div>
    <w:div w:id="281423081">
      <w:marLeft w:val="0"/>
      <w:marRight w:val="0"/>
      <w:marTop w:val="0"/>
      <w:marBottom w:val="0"/>
      <w:divBdr>
        <w:top w:val="none" w:sz="0" w:space="0" w:color="auto"/>
        <w:left w:val="none" w:sz="0" w:space="0" w:color="auto"/>
        <w:bottom w:val="none" w:sz="0" w:space="0" w:color="auto"/>
        <w:right w:val="none" w:sz="0" w:space="0" w:color="auto"/>
      </w:divBdr>
    </w:div>
    <w:div w:id="281423082">
      <w:marLeft w:val="0"/>
      <w:marRight w:val="0"/>
      <w:marTop w:val="0"/>
      <w:marBottom w:val="0"/>
      <w:divBdr>
        <w:top w:val="none" w:sz="0" w:space="0" w:color="auto"/>
        <w:left w:val="none" w:sz="0" w:space="0" w:color="auto"/>
        <w:bottom w:val="none" w:sz="0" w:space="0" w:color="auto"/>
        <w:right w:val="none" w:sz="0" w:space="0" w:color="auto"/>
      </w:divBdr>
    </w:div>
    <w:div w:id="281423083">
      <w:marLeft w:val="0"/>
      <w:marRight w:val="0"/>
      <w:marTop w:val="0"/>
      <w:marBottom w:val="0"/>
      <w:divBdr>
        <w:top w:val="none" w:sz="0" w:space="0" w:color="auto"/>
        <w:left w:val="none" w:sz="0" w:space="0" w:color="auto"/>
        <w:bottom w:val="none" w:sz="0" w:space="0" w:color="auto"/>
        <w:right w:val="none" w:sz="0" w:space="0" w:color="auto"/>
      </w:divBdr>
    </w:div>
    <w:div w:id="281423084">
      <w:marLeft w:val="0"/>
      <w:marRight w:val="0"/>
      <w:marTop w:val="0"/>
      <w:marBottom w:val="0"/>
      <w:divBdr>
        <w:top w:val="none" w:sz="0" w:space="0" w:color="auto"/>
        <w:left w:val="none" w:sz="0" w:space="0" w:color="auto"/>
        <w:bottom w:val="none" w:sz="0" w:space="0" w:color="auto"/>
        <w:right w:val="none" w:sz="0" w:space="0" w:color="auto"/>
      </w:divBdr>
    </w:div>
    <w:div w:id="281423085">
      <w:marLeft w:val="0"/>
      <w:marRight w:val="0"/>
      <w:marTop w:val="0"/>
      <w:marBottom w:val="0"/>
      <w:divBdr>
        <w:top w:val="none" w:sz="0" w:space="0" w:color="auto"/>
        <w:left w:val="none" w:sz="0" w:space="0" w:color="auto"/>
        <w:bottom w:val="none" w:sz="0" w:space="0" w:color="auto"/>
        <w:right w:val="none" w:sz="0" w:space="0" w:color="auto"/>
      </w:divBdr>
    </w:div>
    <w:div w:id="281423086">
      <w:marLeft w:val="0"/>
      <w:marRight w:val="0"/>
      <w:marTop w:val="0"/>
      <w:marBottom w:val="0"/>
      <w:divBdr>
        <w:top w:val="none" w:sz="0" w:space="0" w:color="auto"/>
        <w:left w:val="none" w:sz="0" w:space="0" w:color="auto"/>
        <w:bottom w:val="none" w:sz="0" w:space="0" w:color="auto"/>
        <w:right w:val="none" w:sz="0" w:space="0" w:color="auto"/>
      </w:divBdr>
    </w:div>
    <w:div w:id="281423087">
      <w:marLeft w:val="0"/>
      <w:marRight w:val="0"/>
      <w:marTop w:val="0"/>
      <w:marBottom w:val="0"/>
      <w:divBdr>
        <w:top w:val="none" w:sz="0" w:space="0" w:color="auto"/>
        <w:left w:val="none" w:sz="0" w:space="0" w:color="auto"/>
        <w:bottom w:val="none" w:sz="0" w:space="0" w:color="auto"/>
        <w:right w:val="none" w:sz="0" w:space="0" w:color="auto"/>
      </w:divBdr>
    </w:div>
    <w:div w:id="281423088">
      <w:marLeft w:val="0"/>
      <w:marRight w:val="0"/>
      <w:marTop w:val="0"/>
      <w:marBottom w:val="0"/>
      <w:divBdr>
        <w:top w:val="none" w:sz="0" w:space="0" w:color="auto"/>
        <w:left w:val="none" w:sz="0" w:space="0" w:color="auto"/>
        <w:bottom w:val="none" w:sz="0" w:space="0" w:color="auto"/>
        <w:right w:val="none" w:sz="0" w:space="0" w:color="auto"/>
      </w:divBdr>
    </w:div>
    <w:div w:id="281423089">
      <w:marLeft w:val="0"/>
      <w:marRight w:val="0"/>
      <w:marTop w:val="0"/>
      <w:marBottom w:val="0"/>
      <w:divBdr>
        <w:top w:val="none" w:sz="0" w:space="0" w:color="auto"/>
        <w:left w:val="none" w:sz="0" w:space="0" w:color="auto"/>
        <w:bottom w:val="none" w:sz="0" w:space="0" w:color="auto"/>
        <w:right w:val="none" w:sz="0" w:space="0" w:color="auto"/>
      </w:divBdr>
    </w:div>
    <w:div w:id="281423090">
      <w:marLeft w:val="0"/>
      <w:marRight w:val="0"/>
      <w:marTop w:val="0"/>
      <w:marBottom w:val="0"/>
      <w:divBdr>
        <w:top w:val="none" w:sz="0" w:space="0" w:color="auto"/>
        <w:left w:val="none" w:sz="0" w:space="0" w:color="auto"/>
        <w:bottom w:val="none" w:sz="0" w:space="0" w:color="auto"/>
        <w:right w:val="none" w:sz="0" w:space="0" w:color="auto"/>
      </w:divBdr>
    </w:div>
    <w:div w:id="281423091">
      <w:marLeft w:val="0"/>
      <w:marRight w:val="0"/>
      <w:marTop w:val="0"/>
      <w:marBottom w:val="0"/>
      <w:divBdr>
        <w:top w:val="none" w:sz="0" w:space="0" w:color="auto"/>
        <w:left w:val="none" w:sz="0" w:space="0" w:color="auto"/>
        <w:bottom w:val="none" w:sz="0" w:space="0" w:color="auto"/>
        <w:right w:val="none" w:sz="0" w:space="0" w:color="auto"/>
      </w:divBdr>
    </w:div>
    <w:div w:id="281423092">
      <w:marLeft w:val="0"/>
      <w:marRight w:val="0"/>
      <w:marTop w:val="0"/>
      <w:marBottom w:val="0"/>
      <w:divBdr>
        <w:top w:val="none" w:sz="0" w:space="0" w:color="auto"/>
        <w:left w:val="none" w:sz="0" w:space="0" w:color="auto"/>
        <w:bottom w:val="none" w:sz="0" w:space="0" w:color="auto"/>
        <w:right w:val="none" w:sz="0" w:space="0" w:color="auto"/>
      </w:divBdr>
    </w:div>
    <w:div w:id="281423093">
      <w:marLeft w:val="0"/>
      <w:marRight w:val="0"/>
      <w:marTop w:val="0"/>
      <w:marBottom w:val="0"/>
      <w:divBdr>
        <w:top w:val="none" w:sz="0" w:space="0" w:color="auto"/>
        <w:left w:val="none" w:sz="0" w:space="0" w:color="auto"/>
        <w:bottom w:val="none" w:sz="0" w:space="0" w:color="auto"/>
        <w:right w:val="none" w:sz="0" w:space="0" w:color="auto"/>
      </w:divBdr>
    </w:div>
    <w:div w:id="281423094">
      <w:marLeft w:val="0"/>
      <w:marRight w:val="0"/>
      <w:marTop w:val="0"/>
      <w:marBottom w:val="0"/>
      <w:divBdr>
        <w:top w:val="none" w:sz="0" w:space="0" w:color="auto"/>
        <w:left w:val="none" w:sz="0" w:space="0" w:color="auto"/>
        <w:bottom w:val="none" w:sz="0" w:space="0" w:color="auto"/>
        <w:right w:val="none" w:sz="0" w:space="0" w:color="auto"/>
      </w:divBdr>
    </w:div>
    <w:div w:id="577010775">
      <w:bodyDiv w:val="1"/>
      <w:marLeft w:val="0"/>
      <w:marRight w:val="0"/>
      <w:marTop w:val="0"/>
      <w:marBottom w:val="0"/>
      <w:divBdr>
        <w:top w:val="none" w:sz="0" w:space="0" w:color="auto"/>
        <w:left w:val="none" w:sz="0" w:space="0" w:color="auto"/>
        <w:bottom w:val="none" w:sz="0" w:space="0" w:color="auto"/>
        <w:right w:val="none" w:sz="0" w:space="0" w:color="auto"/>
      </w:divBdr>
    </w:div>
    <w:div w:id="206459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94</Pages>
  <Words>25444</Words>
  <Characters>175564</Characters>
  <Application>Microsoft Office Word</Application>
  <DocSecurity>4</DocSecurity>
  <Lines>1463</Lines>
  <Paragraphs>401</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200607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Tisóczki Flóra</cp:lastModifiedBy>
  <cp:revision>2</cp:revision>
  <cp:lastPrinted>2018-11-22T07:34:00Z</cp:lastPrinted>
  <dcterms:created xsi:type="dcterms:W3CDTF">2018-12-19T13:03:00Z</dcterms:created>
  <dcterms:modified xsi:type="dcterms:W3CDTF">2018-12-19T13:03:00Z</dcterms:modified>
</cp:coreProperties>
</file>